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EC" w:rsidRDefault="000048EC"/>
    <w:p w:rsidR="008F5ED3" w:rsidRPr="007E405A" w:rsidRDefault="008F5ED3" w:rsidP="008F5ED3">
      <w:pPr>
        <w:autoSpaceDN w:val="0"/>
        <w:adjustRightInd w:val="0"/>
        <w:jc w:val="center"/>
        <w:rPr>
          <w:rFonts w:ascii="Algerian" w:hAnsi="Algerian"/>
          <w:b/>
          <w:bCs/>
          <w:color w:val="C00000"/>
          <w:sz w:val="28"/>
          <w:szCs w:val="28"/>
          <w:u w:val="single"/>
          <w:lang w:val="ro-RO"/>
        </w:rPr>
      </w:pPr>
      <w:proofErr w:type="spellStart"/>
      <w:r>
        <w:rPr>
          <w:rFonts w:ascii="Algerian" w:hAnsi="Algerian"/>
          <w:b/>
          <w:bCs/>
          <w:color w:val="C00000"/>
          <w:sz w:val="28"/>
          <w:szCs w:val="28"/>
          <w:u w:val="single"/>
        </w:rPr>
        <w:t>Recomandari</w:t>
      </w:r>
      <w:proofErr w:type="spellEnd"/>
      <w:r>
        <w:rPr>
          <w:rFonts w:ascii="Algerian" w:hAnsi="Algerian"/>
          <w:b/>
          <w:bCs/>
          <w:color w:val="C00000"/>
          <w:sz w:val="28"/>
          <w:szCs w:val="28"/>
          <w:u w:val="single"/>
        </w:rPr>
        <w:t xml:space="preserve"> cu </w:t>
      </w:r>
      <w:proofErr w:type="spellStart"/>
      <w:r>
        <w:rPr>
          <w:rFonts w:ascii="Algerian" w:hAnsi="Algerian"/>
          <w:b/>
          <w:bCs/>
          <w:color w:val="C00000"/>
          <w:sz w:val="28"/>
          <w:szCs w:val="28"/>
          <w:u w:val="single"/>
        </w:rPr>
        <w:t>caracter</w:t>
      </w:r>
      <w:proofErr w:type="spellEnd"/>
      <w:r>
        <w:rPr>
          <w:rFonts w:ascii="Algerian" w:hAnsi="Algerian"/>
          <w:b/>
          <w:bCs/>
          <w:color w:val="C00000"/>
          <w:sz w:val="28"/>
          <w:szCs w:val="28"/>
          <w:u w:val="single"/>
        </w:rPr>
        <w:t xml:space="preserve"> general de </w:t>
      </w:r>
      <w:proofErr w:type="spellStart"/>
      <w:r>
        <w:rPr>
          <w:rFonts w:ascii="Algerian" w:hAnsi="Algerian"/>
          <w:b/>
          <w:bCs/>
          <w:color w:val="C00000"/>
          <w:sz w:val="28"/>
          <w:szCs w:val="28"/>
          <w:u w:val="single"/>
        </w:rPr>
        <w:t>combatere</w:t>
      </w:r>
      <w:proofErr w:type="spellEnd"/>
      <w:r>
        <w:rPr>
          <w:rFonts w:ascii="Algerian" w:hAnsi="Algerian"/>
          <w:b/>
          <w:bCs/>
          <w:color w:val="C00000"/>
          <w:sz w:val="28"/>
          <w:szCs w:val="28"/>
          <w:u w:val="single"/>
        </w:rPr>
        <w:t xml:space="preserve"> a </w:t>
      </w:r>
      <w:proofErr w:type="spellStart"/>
      <w:r>
        <w:rPr>
          <w:rFonts w:ascii="Algerian" w:hAnsi="Algerian"/>
          <w:b/>
          <w:bCs/>
          <w:color w:val="C00000"/>
          <w:sz w:val="28"/>
          <w:szCs w:val="28"/>
          <w:u w:val="single"/>
        </w:rPr>
        <w:t>caniculei</w:t>
      </w:r>
      <w:proofErr w:type="spellEnd"/>
    </w:p>
    <w:p w:rsidR="008F5ED3" w:rsidRDefault="008F5ED3"/>
    <w:p w:rsidR="000048EC" w:rsidRPr="008F5ED3" w:rsidRDefault="00FB16FD" w:rsidP="008F5ED3">
      <w:pPr>
        <w:tabs>
          <w:tab w:val="left" w:pos="5529"/>
        </w:tabs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</w:pPr>
      <w:r w:rsidRPr="008F5ED3"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  <w:t>La picnic</w:t>
      </w:r>
      <w:r w:rsidR="00E3511A"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  <w:t>:</w:t>
      </w:r>
    </w:p>
    <w:p w:rsidR="00FB16FD" w:rsidRPr="008F5ED3" w:rsidRDefault="00FB16FD" w:rsidP="00FB16FD">
      <w:pPr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  <w:sectPr w:rsidR="00FB16FD" w:rsidRPr="008F5ED3" w:rsidSect="000048EC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F5ED3" w:rsidRPr="00322463" w:rsidRDefault="008F5ED3" w:rsidP="00322463">
      <w:pPr>
        <w:pStyle w:val="ListParagraph"/>
        <w:numPr>
          <w:ilvl w:val="0"/>
          <w:numId w:val="2"/>
        </w:numPr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</w:pP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lastRenderedPageBreak/>
        <w:t>Temperaturile ridicate determin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foarte multe persoane s</w:t>
      </w:r>
      <w:r>
        <w:rPr>
          <w:b/>
          <w:bCs/>
          <w:color w:val="365F91" w:themeColor="accent1" w:themeShade="BF"/>
          <w:lang w:val="it-IT"/>
        </w:rPr>
        <w:t>ă</w:t>
      </w:r>
      <w:r w:rsidR="00FB16FD" w:rsidRPr="008F5ED3">
        <w:rPr>
          <w:rFonts w:ascii="Baskerville Old Face" w:hAnsi="Baskerville Old Face"/>
          <w:b/>
          <w:bCs/>
          <w:color w:val="365F91"/>
          <w:lang w:val="it-IT"/>
        </w:rPr>
        <w:t xml:space="preserve"> caute confortul zonelor de agrement lucru care presupune în cele mai multe cazuri,  folosir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ea focului. Acesta nu trebuie f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cut oriunde </w:t>
      </w:r>
      <w:r>
        <w:rPr>
          <w:b/>
          <w:bCs/>
          <w:color w:val="365F91" w:themeColor="accent1" w:themeShade="BF"/>
          <w:lang w:val="it-IT"/>
        </w:rPr>
        <w:t>ş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 în orice condi</w:t>
      </w:r>
      <w:r>
        <w:rPr>
          <w:b/>
          <w:bCs/>
          <w:color w:val="365F91" w:themeColor="accent1" w:themeShade="BF"/>
          <w:lang w:val="it-IT"/>
        </w:rPr>
        <w:t>ţ</w:t>
      </w:r>
      <w:r w:rsidR="00FB16FD" w:rsidRPr="008F5ED3">
        <w:rPr>
          <w:rFonts w:ascii="Baskerville Old Face" w:hAnsi="Baskerville Old Face"/>
          <w:b/>
          <w:bCs/>
          <w:color w:val="365F91"/>
          <w:lang w:val="it-IT"/>
        </w:rPr>
        <w:t xml:space="preserve">ii. </w:t>
      </w:r>
    </w:p>
    <w:p w:rsidR="008F5ED3" w:rsidRPr="00322463" w:rsidRDefault="00FB16FD" w:rsidP="00322463">
      <w:pPr>
        <w:pStyle w:val="ListParagraph"/>
        <w:numPr>
          <w:ilvl w:val="0"/>
          <w:numId w:val="3"/>
        </w:numPr>
        <w:autoSpaceDN w:val="0"/>
        <w:adjustRightInd w:val="0"/>
        <w:ind w:left="720"/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</w:pPr>
      <w:r w:rsidRPr="008F5ED3">
        <w:rPr>
          <w:rFonts w:ascii="Baskerville Old Face" w:hAnsi="Baskerville Old Face"/>
          <w:b/>
          <w:bCs/>
          <w:color w:val="365F91"/>
          <w:lang w:val="it-IT"/>
        </w:rPr>
        <w:t>Focul deschis se poate folosi numai în vetrele spec</w:t>
      </w:r>
      <w:r w:rsid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ial amenajate sau la o distan</w:t>
      </w:r>
      <w:r w:rsidR="008F5ED3">
        <w:rPr>
          <w:b/>
          <w:bCs/>
          <w:color w:val="365F91" w:themeColor="accent1" w:themeShade="BF"/>
          <w:lang w:val="it-IT"/>
        </w:rPr>
        <w:t>ţă</w:t>
      </w:r>
      <w:r w:rsidRPr="008F5ED3">
        <w:rPr>
          <w:rFonts w:ascii="Baskerville Old Face" w:hAnsi="Baskerville Old Face"/>
          <w:b/>
          <w:bCs/>
          <w:color w:val="365F91"/>
          <w:lang w:val="it-IT"/>
        </w:rPr>
        <w:t>de min</w:t>
      </w:r>
      <w:r w:rsidR="00E3511A">
        <w:rPr>
          <w:rFonts w:ascii="Baskerville Old Face" w:hAnsi="Baskerville Old Face"/>
          <w:b/>
          <w:bCs/>
          <w:color w:val="365F91"/>
          <w:lang w:val="it-IT"/>
        </w:rPr>
        <w:t>.</w:t>
      </w:r>
      <w:r w:rsidRPr="008F5ED3">
        <w:rPr>
          <w:rFonts w:ascii="Baskerville Old Face" w:hAnsi="Baskerville Old Face"/>
          <w:b/>
          <w:bCs/>
          <w:color w:val="365F91"/>
          <w:lang w:val="it-IT"/>
        </w:rPr>
        <w:t xml:space="preserve"> 100</w:t>
      </w:r>
      <w:r w:rsid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m de marginea (liziera) p</w:t>
      </w:r>
      <w:r w:rsidR="008F5ED3">
        <w:rPr>
          <w:b/>
          <w:bCs/>
          <w:color w:val="365F91" w:themeColor="accent1" w:themeShade="BF"/>
          <w:lang w:val="it-IT"/>
        </w:rPr>
        <w:t>ă</w:t>
      </w:r>
      <w:r w:rsidRPr="008F5ED3">
        <w:rPr>
          <w:rFonts w:ascii="Baskerville Old Face" w:hAnsi="Baskerville Old Face"/>
          <w:b/>
          <w:bCs/>
          <w:color w:val="365F91"/>
          <w:lang w:val="it-IT"/>
        </w:rPr>
        <w:t>durii</w:t>
      </w:r>
      <w:r w:rsid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. Se va cur</w:t>
      </w:r>
      <w:r w:rsidR="008F5ED3">
        <w:rPr>
          <w:b/>
          <w:bCs/>
          <w:color w:val="365F91" w:themeColor="accent1" w:themeShade="BF"/>
          <w:lang w:val="it-IT"/>
        </w:rPr>
        <w:t>ăţ</w:t>
      </w:r>
      <w:r w:rsid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a vegeta</w:t>
      </w:r>
      <w:r w:rsidR="008F5ED3">
        <w:rPr>
          <w:b/>
          <w:bCs/>
          <w:color w:val="365F91" w:themeColor="accent1" w:themeShade="BF"/>
          <w:lang w:val="it-IT"/>
        </w:rPr>
        <w:t>ţ</w:t>
      </w:r>
      <w:r w:rsidRPr="008F5ED3">
        <w:rPr>
          <w:rFonts w:ascii="Baskerville Old Face" w:hAnsi="Baskerville Old Face"/>
          <w:b/>
          <w:bCs/>
          <w:color w:val="365F91"/>
          <w:lang w:val="it-IT"/>
        </w:rPr>
        <w:t xml:space="preserve">ia din jurul vetrei iar focul </w:t>
      </w:r>
      <w:r w:rsid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va fi supravegheat permanent</w:t>
      </w:r>
      <w:r w:rsidRPr="008F5ED3">
        <w:rPr>
          <w:rFonts w:ascii="Baskerville Old Face" w:hAnsi="Baskerville Old Face"/>
          <w:b/>
          <w:bCs/>
          <w:color w:val="365F91"/>
          <w:lang w:val="it-IT"/>
        </w:rPr>
        <w:t xml:space="preserve">. </w:t>
      </w:r>
    </w:p>
    <w:p w:rsidR="008F5ED3" w:rsidRPr="00322463" w:rsidRDefault="00FB16FD" w:rsidP="00322463">
      <w:pPr>
        <w:pStyle w:val="ListParagraph"/>
        <w:numPr>
          <w:ilvl w:val="0"/>
          <w:numId w:val="2"/>
        </w:numPr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</w:pPr>
      <w:r w:rsidRP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C</w:t>
      </w:r>
      <w:r w:rsidRPr="008F5ED3">
        <w:rPr>
          <w:rFonts w:ascii="Baskerville Old Face" w:hAnsi="Baskerville Old Face"/>
          <w:b/>
          <w:bCs/>
          <w:color w:val="365F91"/>
          <w:lang w:val="it-IT"/>
        </w:rPr>
        <w:t>opii</w:t>
      </w:r>
      <w:r w:rsidRP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</w:t>
      </w:r>
      <w:r w:rsid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vor fi supraveghea</w:t>
      </w:r>
      <w:r w:rsidR="008F5ED3">
        <w:rPr>
          <w:b/>
          <w:bCs/>
          <w:color w:val="365F91" w:themeColor="accent1" w:themeShade="BF"/>
          <w:lang w:val="it-IT"/>
        </w:rPr>
        <w:t>ţ</w:t>
      </w:r>
      <w:r w:rsidRPr="008F5ED3">
        <w:rPr>
          <w:rFonts w:ascii="Baskerville Old Face" w:hAnsi="Baskerville Old Face"/>
          <w:b/>
          <w:bCs/>
          <w:color w:val="365F91"/>
          <w:lang w:val="it-IT"/>
        </w:rPr>
        <w:t xml:space="preserve">i pentru a nu transporta jar sau alte sau alte materiale aprinse în afara vetrei de foc. </w:t>
      </w:r>
    </w:p>
    <w:p w:rsidR="008F5ED3" w:rsidRPr="00322463" w:rsidRDefault="00FB16FD" w:rsidP="008F5ED3">
      <w:pPr>
        <w:pStyle w:val="ListParagraph"/>
        <w:numPr>
          <w:ilvl w:val="0"/>
          <w:numId w:val="2"/>
        </w:numPr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</w:pPr>
      <w:r w:rsidRPr="008F5ED3">
        <w:rPr>
          <w:rFonts w:ascii="Baskerville Old Face" w:hAnsi="Baskerville Old Face"/>
          <w:b/>
          <w:bCs/>
          <w:color w:val="365F91"/>
          <w:lang w:val="it-IT"/>
        </w:rPr>
        <w:t>La plecare focul v</w:t>
      </w:r>
      <w:r w:rsid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a fi stins prin stropirea cu ap</w:t>
      </w:r>
      <w:r w:rsidR="008F5ED3">
        <w:rPr>
          <w:b/>
          <w:bCs/>
          <w:color w:val="365F91" w:themeColor="accent1" w:themeShade="BF"/>
          <w:lang w:val="it-IT"/>
        </w:rPr>
        <w:t>ă</w:t>
      </w:r>
      <w:r w:rsidRPr="008F5ED3">
        <w:rPr>
          <w:rFonts w:ascii="Baskerville Old Face" w:hAnsi="Baskerville Old Face"/>
          <w:b/>
          <w:bCs/>
          <w:color w:val="365F91"/>
          <w:lang w:val="it-IT"/>
        </w:rPr>
        <w:t xml:space="preserve"> a jar</w:t>
      </w:r>
      <w:r w:rsid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ului pân</w:t>
      </w:r>
      <w:r w:rsidR="008F5ED3">
        <w:rPr>
          <w:b/>
          <w:bCs/>
          <w:color w:val="365F91" w:themeColor="accent1" w:themeShade="BF"/>
          <w:lang w:val="it-IT"/>
        </w:rPr>
        <w:t>ă</w:t>
      </w:r>
      <w:r w:rsid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la r</w:t>
      </w:r>
      <w:r w:rsidR="008F5ED3">
        <w:rPr>
          <w:b/>
          <w:bCs/>
          <w:color w:val="365F91" w:themeColor="accent1" w:themeShade="BF"/>
          <w:lang w:val="it-IT"/>
        </w:rPr>
        <w:t>ă</w:t>
      </w:r>
      <w:r w:rsid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cirea total</w:t>
      </w:r>
      <w:r w:rsidR="008F5ED3">
        <w:rPr>
          <w:b/>
          <w:bCs/>
          <w:color w:val="365F91" w:themeColor="accent1" w:themeShade="BF"/>
          <w:lang w:val="it-IT"/>
        </w:rPr>
        <w:t>ă</w:t>
      </w:r>
      <w:r w:rsid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</w:t>
      </w:r>
      <w:r w:rsidRPr="008F5ED3">
        <w:rPr>
          <w:rFonts w:ascii="Baskerville Old Face" w:hAnsi="Baskerville Old Face"/>
          <w:b/>
          <w:bCs/>
          <w:color w:val="365F91"/>
          <w:lang w:val="it-IT"/>
        </w:rPr>
        <w:t>a acestuia</w:t>
      </w:r>
      <w:r w:rsid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, lucru absolut necesar datorit</w:t>
      </w:r>
      <w:r w:rsidR="008F5ED3">
        <w:rPr>
          <w:b/>
          <w:bCs/>
          <w:color w:val="365F91" w:themeColor="accent1" w:themeShade="BF"/>
          <w:lang w:val="it-IT"/>
        </w:rPr>
        <w:t>ă</w:t>
      </w:r>
      <w:r w:rsid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posibilit</w:t>
      </w:r>
      <w:r w:rsidR="008F5ED3">
        <w:rPr>
          <w:b/>
          <w:bCs/>
          <w:color w:val="365F91" w:themeColor="accent1" w:themeShade="BF"/>
          <w:lang w:val="it-IT"/>
        </w:rPr>
        <w:t>ăţ</w:t>
      </w:r>
      <w:r w:rsidRPr="008F5ED3">
        <w:rPr>
          <w:rFonts w:ascii="Baskerville Old Face" w:hAnsi="Baskerville Old Face"/>
          <w:b/>
          <w:bCs/>
          <w:color w:val="365F91"/>
          <w:lang w:val="it-IT"/>
        </w:rPr>
        <w:t>ii reaprinderii acestuia la orice adiere de vânt.</w:t>
      </w:r>
    </w:p>
    <w:p w:rsidR="008F5ED3" w:rsidRDefault="008F5ED3" w:rsidP="00FB16FD">
      <w:pPr>
        <w:pStyle w:val="ListParagraph"/>
        <w:numPr>
          <w:ilvl w:val="0"/>
          <w:numId w:val="2"/>
        </w:numPr>
        <w:jc w:val="both"/>
        <w:rPr>
          <w:rFonts w:ascii="Baskerville Old Face" w:hAnsi="Baskerville Old Face"/>
          <w:b/>
          <w:bCs/>
          <w:color w:val="365F91"/>
          <w:lang w:val="it-IT"/>
        </w:rPr>
      </w:pP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Profesorii </w:t>
      </w:r>
      <w:r>
        <w:rPr>
          <w:b/>
          <w:bCs/>
          <w:color w:val="365F91" w:themeColor="accent1" w:themeShade="BF"/>
          <w:lang w:val="it-IT"/>
        </w:rPr>
        <w:t>ş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 educatorii care înso</w:t>
      </w:r>
      <w:r>
        <w:rPr>
          <w:b/>
          <w:bCs/>
          <w:color w:val="365F91" w:themeColor="accent1" w:themeShade="BF"/>
          <w:lang w:val="it-IT"/>
        </w:rPr>
        <w:t>ţ</w:t>
      </w:r>
      <w:r w:rsidR="00FB16FD" w:rsidRPr="008F5ED3">
        <w:rPr>
          <w:rFonts w:ascii="Baskerville Old Face" w:hAnsi="Baskerville Old Face"/>
          <w:b/>
          <w:bCs/>
          <w:color w:val="365F91"/>
          <w:lang w:val="it-IT"/>
        </w:rPr>
        <w:t xml:space="preserve">esc grupurile de 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elevi în excursii vor stabili m</w:t>
      </w:r>
      <w:r>
        <w:rPr>
          <w:b/>
          <w:bCs/>
          <w:color w:val="365F91" w:themeColor="accent1" w:themeShade="BF"/>
          <w:lang w:val="it-IT"/>
        </w:rPr>
        <w:t>ă</w:t>
      </w:r>
      <w:r w:rsidR="00FB16FD" w:rsidRPr="008F5ED3">
        <w:rPr>
          <w:rFonts w:ascii="Baskerville Old Face" w:hAnsi="Baskerville Old Face"/>
          <w:b/>
          <w:bCs/>
          <w:color w:val="365F91"/>
          <w:lang w:val="it-IT"/>
        </w:rPr>
        <w:t>s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uri de supraveghere a elevilor </w:t>
      </w:r>
      <w:r>
        <w:rPr>
          <w:b/>
          <w:bCs/>
          <w:color w:val="365F91" w:themeColor="accent1" w:themeShade="BF"/>
          <w:lang w:val="it-IT"/>
        </w:rPr>
        <w:t>ş</w:t>
      </w:r>
      <w:r w:rsidR="00FB16FD" w:rsidRPr="008F5ED3">
        <w:rPr>
          <w:rFonts w:ascii="Baskerville Old Face" w:hAnsi="Baskerville Old Face"/>
          <w:b/>
          <w:bCs/>
          <w:color w:val="365F91"/>
          <w:lang w:val="it-IT"/>
        </w:rPr>
        <w:t>i interzicerea fumatului.</w:t>
      </w:r>
    </w:p>
    <w:p w:rsidR="00322463" w:rsidRPr="00322463" w:rsidRDefault="00322463" w:rsidP="00E3511A">
      <w:pPr>
        <w:pStyle w:val="ListParagraph"/>
        <w:jc w:val="both"/>
        <w:rPr>
          <w:rFonts w:ascii="Baskerville Old Face" w:hAnsi="Baskerville Old Face"/>
          <w:b/>
          <w:bCs/>
          <w:color w:val="365F91"/>
          <w:lang w:val="it-IT"/>
        </w:rPr>
      </w:pPr>
    </w:p>
    <w:p w:rsidR="00FB16FD" w:rsidRPr="008F5ED3" w:rsidRDefault="00FB16FD" w:rsidP="00FB16FD">
      <w:pPr>
        <w:jc w:val="both"/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</w:pPr>
      <w:r w:rsidRPr="008F5ED3"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  <w:t>P</w:t>
      </w:r>
      <w:r w:rsidR="008F5ED3"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  <w:t>rotec</w:t>
      </w:r>
      <w:r w:rsidR="008F5ED3">
        <w:rPr>
          <w:b/>
          <w:bCs/>
          <w:color w:val="365F91" w:themeColor="accent1" w:themeShade="BF"/>
          <w:u w:val="single"/>
          <w:lang w:val="it-IT"/>
        </w:rPr>
        <w:t>ţ</w:t>
      </w:r>
      <w:r w:rsidRPr="008F5ED3"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  <w:t xml:space="preserve">ia </w:t>
      </w:r>
      <w:r w:rsidR="008F5ED3"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  <w:t>copiilor afla</w:t>
      </w:r>
      <w:r w:rsidR="008F5ED3">
        <w:rPr>
          <w:b/>
          <w:bCs/>
          <w:color w:val="365F91" w:themeColor="accent1" w:themeShade="BF"/>
          <w:u w:val="single"/>
          <w:lang w:val="it-IT"/>
        </w:rPr>
        <w:t>ţ</w:t>
      </w:r>
      <w:r w:rsidRPr="008F5ED3"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  <w:t>i în tabere</w:t>
      </w:r>
      <w:r w:rsidR="00E3511A"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  <w:t>:</w:t>
      </w:r>
    </w:p>
    <w:p w:rsidR="00FB16FD" w:rsidRPr="001F2FDA" w:rsidRDefault="00FB16FD" w:rsidP="00FB16FD">
      <w:pPr>
        <w:pStyle w:val="ListParagraph"/>
        <w:numPr>
          <w:ilvl w:val="0"/>
          <w:numId w:val="3"/>
        </w:numPr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</w:pPr>
      <w:r w:rsidRP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Asigurarea 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condi</w:t>
      </w:r>
      <w:r w:rsidR="00322463">
        <w:rPr>
          <w:b/>
          <w:bCs/>
          <w:color w:val="365F91" w:themeColor="accent1" w:themeShade="BF"/>
          <w:lang w:val="it-IT"/>
        </w:rPr>
        <w:t>ţ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iilor corespunzptoare de cazare </w:t>
      </w:r>
      <w:r w:rsidR="00322463">
        <w:rPr>
          <w:b/>
          <w:bCs/>
          <w:color w:val="365F91" w:themeColor="accent1" w:themeShade="BF"/>
          <w:lang w:val="it-IT"/>
        </w:rPr>
        <w:t>ş</w:t>
      </w:r>
      <w:r w:rsidRP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 alimenta</w:t>
      </w:r>
      <w:r w:rsidR="00322463">
        <w:rPr>
          <w:b/>
          <w:bCs/>
          <w:color w:val="365F91" w:themeColor="accent1" w:themeShade="BF"/>
          <w:lang w:val="it-IT"/>
        </w:rPr>
        <w:t>ţ</w:t>
      </w:r>
      <w:r w:rsidRP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ie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. </w:t>
      </w:r>
    </w:p>
    <w:p w:rsidR="001F2FDA" w:rsidRDefault="001F2FDA" w:rsidP="001F2FDA">
      <w:pPr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</w:pPr>
    </w:p>
    <w:p w:rsidR="001F2FDA" w:rsidRPr="001F2FDA" w:rsidRDefault="001F2FDA" w:rsidP="001F2FDA">
      <w:pPr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</w:pPr>
    </w:p>
    <w:p w:rsidR="00FB16FD" w:rsidRPr="00322463" w:rsidRDefault="00FB16FD" w:rsidP="00322463">
      <w:pPr>
        <w:pStyle w:val="ListParagraph"/>
        <w:numPr>
          <w:ilvl w:val="0"/>
          <w:numId w:val="3"/>
        </w:numPr>
        <w:ind w:left="567" w:hanging="425"/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</w:pPr>
      <w:r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lastRenderedPageBreak/>
        <w:t xml:space="preserve">Hidratarea </w:t>
      </w:r>
      <w:r w:rsidR="00322463"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corespunz</w:t>
      </w:r>
      <w:r w:rsidR="00322463" w:rsidRPr="00322463">
        <w:rPr>
          <w:b/>
          <w:bCs/>
          <w:color w:val="365F91" w:themeColor="accent1" w:themeShade="BF"/>
          <w:lang w:val="it-IT"/>
        </w:rPr>
        <w:t>ă</w:t>
      </w:r>
      <w:r w:rsidR="00322463"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toare.</w:t>
      </w:r>
    </w:p>
    <w:p w:rsidR="00FB16FD" w:rsidRPr="008F5ED3" w:rsidRDefault="00FB16FD" w:rsidP="00322463">
      <w:pPr>
        <w:pStyle w:val="ListParagraph"/>
        <w:numPr>
          <w:ilvl w:val="0"/>
          <w:numId w:val="3"/>
        </w:numPr>
        <w:ind w:left="567" w:hanging="425"/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</w:pPr>
      <w:r w:rsidRP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Supravegherea 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permanent</w:t>
      </w:r>
      <w:r w:rsidR="00322463">
        <w:rPr>
          <w:b/>
          <w:bCs/>
          <w:color w:val="365F91" w:themeColor="accent1" w:themeShade="BF"/>
          <w:lang w:val="it-IT"/>
        </w:rPr>
        <w:t>ă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a copiilor, locul de joac</w:t>
      </w:r>
      <w:r w:rsidR="00322463">
        <w:rPr>
          <w:b/>
          <w:bCs/>
          <w:color w:val="365F91" w:themeColor="accent1" w:themeShade="BF"/>
          <w:lang w:val="it-IT"/>
        </w:rPr>
        <w:t>ă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va fi amplasat la umbr</w:t>
      </w:r>
      <w:r w:rsidR="00322463">
        <w:rPr>
          <w:b/>
          <w:bCs/>
          <w:color w:val="365F91" w:themeColor="accent1" w:themeShade="BF"/>
          <w:lang w:val="it-IT"/>
        </w:rPr>
        <w:t>ă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.</w:t>
      </w:r>
      <w:r w:rsidRP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</w:t>
      </w:r>
    </w:p>
    <w:p w:rsidR="008F5ED3" w:rsidRPr="008F5ED3" w:rsidRDefault="00FB16FD" w:rsidP="00322463">
      <w:pPr>
        <w:pStyle w:val="ListParagraph"/>
        <w:numPr>
          <w:ilvl w:val="0"/>
          <w:numId w:val="3"/>
        </w:numPr>
        <w:ind w:left="567" w:hanging="425"/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</w:pPr>
      <w:r w:rsidRP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S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c</w:t>
      </w:r>
      <w:r w:rsidR="00322463">
        <w:rPr>
          <w:b/>
          <w:bCs/>
          <w:color w:val="365F91" w:themeColor="accent1" w:themeShade="BF"/>
          <w:lang w:val="it-IT"/>
        </w:rPr>
        <w:t>ă</w:t>
      </w:r>
      <w:r w:rsidRP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ldatul,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acolo unde este cazul, va fi f</w:t>
      </w:r>
      <w:r w:rsidR="00322463">
        <w:rPr>
          <w:b/>
          <w:bCs/>
          <w:color w:val="365F91" w:themeColor="accent1" w:themeShade="BF"/>
          <w:lang w:val="it-IT"/>
        </w:rPr>
        <w:t>ă</w:t>
      </w:r>
      <w:r w:rsidRP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cut s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ub absoluta supraveghere a înso</w:t>
      </w:r>
      <w:r w:rsidR="00322463">
        <w:rPr>
          <w:b/>
          <w:bCs/>
          <w:color w:val="365F91" w:themeColor="accent1" w:themeShade="BF"/>
          <w:lang w:val="it-IT"/>
        </w:rPr>
        <w:t>ţ</w:t>
      </w:r>
      <w:r w:rsidRP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itorului</w:t>
      </w:r>
      <w:r w:rsidR="008F5ED3" w:rsidRPr="008F5ED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.</w:t>
      </w:r>
    </w:p>
    <w:p w:rsidR="008F5ED3" w:rsidRPr="00322463" w:rsidRDefault="008F5ED3" w:rsidP="00322463">
      <w:pPr>
        <w:ind w:left="567" w:hanging="425"/>
        <w:jc w:val="both"/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</w:pPr>
      <w:r w:rsidRPr="00322463"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  <w:t>Fumatul</w:t>
      </w:r>
      <w:r w:rsidR="00E3511A"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  <w:t>:</w:t>
      </w:r>
    </w:p>
    <w:p w:rsidR="00FB16FD" w:rsidRPr="00322463" w:rsidRDefault="00322463" w:rsidP="00322463">
      <w:pPr>
        <w:pStyle w:val="ListParagraph"/>
        <w:numPr>
          <w:ilvl w:val="0"/>
          <w:numId w:val="3"/>
        </w:numPr>
        <w:ind w:left="567" w:hanging="425"/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</w:pPr>
      <w:r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Trebuie 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manifestat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o grij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deosebit</w:t>
      </w:r>
      <w:r>
        <w:rPr>
          <w:b/>
          <w:bCs/>
          <w:color w:val="365F91" w:themeColor="accent1" w:themeShade="BF"/>
          <w:lang w:val="it-IT"/>
        </w:rPr>
        <w:t>ă</w:t>
      </w:r>
      <w:r w:rsidR="00FB16FD"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la fumat (mai a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les la aruncarea resturilor de </w:t>
      </w:r>
      <w:r>
        <w:rPr>
          <w:b/>
          <w:bCs/>
          <w:color w:val="365F91" w:themeColor="accent1" w:themeShade="BF"/>
          <w:lang w:val="it-IT"/>
        </w:rPr>
        <w:t>ţ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ig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ri </w:t>
      </w:r>
      <w:r>
        <w:rPr>
          <w:b/>
          <w:bCs/>
          <w:color w:val="365F91" w:themeColor="accent1" w:themeShade="BF"/>
          <w:lang w:val="it-IT"/>
        </w:rPr>
        <w:t>ş</w:t>
      </w:r>
      <w:r w:rsidR="00FB16FD"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i 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chibrituri), la executarea lucr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rilor de sudur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 </w:t>
      </w:r>
      <w:r>
        <w:rPr>
          <w:b/>
          <w:bCs/>
          <w:color w:val="365F91" w:themeColor="accent1" w:themeShade="BF"/>
          <w:lang w:val="it-IT"/>
        </w:rPr>
        <w:t>ş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 la desf</w:t>
      </w:r>
      <w:r>
        <w:rPr>
          <w:b/>
          <w:bCs/>
          <w:color w:val="365F91" w:themeColor="accent1" w:themeShade="BF"/>
          <w:lang w:val="it-IT"/>
        </w:rPr>
        <w:t>ăş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urarea oric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ror activit</w:t>
      </w:r>
      <w:r>
        <w:rPr>
          <w:b/>
          <w:bCs/>
          <w:color w:val="365F91" w:themeColor="accent1" w:themeShade="BF"/>
          <w:lang w:val="it-IT"/>
        </w:rPr>
        <w:t>ăţi</w:t>
      </w:r>
      <w:r w:rsidR="00FB16FD"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ce pot produce aprinderea diverselor materiale.</w:t>
      </w:r>
    </w:p>
    <w:p w:rsidR="00322463" w:rsidRPr="00322463" w:rsidRDefault="00322463" w:rsidP="00322463">
      <w:pPr>
        <w:ind w:left="567" w:hanging="425"/>
        <w:jc w:val="both"/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</w:pPr>
      <w:r w:rsidRPr="00322463"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  <w:t>Depozitare</w:t>
      </w:r>
      <w:r w:rsidR="00E3511A"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  <w:t>:</w:t>
      </w:r>
    </w:p>
    <w:p w:rsidR="00FB16FD" w:rsidRPr="00322463" w:rsidRDefault="00FB16FD" w:rsidP="00322463">
      <w:pPr>
        <w:pStyle w:val="ListParagraph"/>
        <w:numPr>
          <w:ilvl w:val="0"/>
          <w:numId w:val="3"/>
        </w:numPr>
        <w:ind w:left="567" w:hanging="425"/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</w:pPr>
      <w:r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S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e impune respectarea cu stricte</w:t>
      </w:r>
      <w:r w:rsidR="00322463">
        <w:rPr>
          <w:b/>
          <w:bCs/>
          <w:color w:val="365F91" w:themeColor="accent1" w:themeShade="BF"/>
          <w:lang w:val="it-IT"/>
        </w:rPr>
        <w:t>ţ</w:t>
      </w:r>
      <w:r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e a regulil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or privind manipularea  substan</w:t>
      </w:r>
      <w:r w:rsidR="00322463">
        <w:rPr>
          <w:b/>
          <w:bCs/>
          <w:color w:val="365F91" w:themeColor="accent1" w:themeShade="BF"/>
          <w:lang w:val="it-IT"/>
        </w:rPr>
        <w:t>ţ</w:t>
      </w:r>
      <w:r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elor cu risc ridicat de incendiu sau explozie. Recipientele cu gaze lichefiate (GPL, oxigen, etc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) trebuie protejate de influen</w:t>
      </w:r>
      <w:r w:rsidR="00322463">
        <w:rPr>
          <w:b/>
          <w:bCs/>
          <w:color w:val="365F91" w:themeColor="accent1" w:themeShade="BF"/>
          <w:lang w:val="it-IT"/>
        </w:rPr>
        <w:t>ţ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a direct</w:t>
      </w:r>
      <w:r w:rsidR="00322463">
        <w:rPr>
          <w:b/>
          <w:bCs/>
          <w:color w:val="365F91" w:themeColor="accent1" w:themeShade="BF"/>
          <w:lang w:val="it-IT"/>
        </w:rPr>
        <w:t>ă</w:t>
      </w:r>
      <w:r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a razelor solare sau stropite perioadic cu je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turi de ap</w:t>
      </w:r>
      <w:r w:rsidR="00322463">
        <w:rPr>
          <w:b/>
          <w:bCs/>
          <w:color w:val="365F91" w:themeColor="accent1" w:themeShade="BF"/>
          <w:lang w:val="it-IT"/>
        </w:rPr>
        <w:t>ă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 pentru r</w:t>
      </w:r>
      <w:r w:rsidR="00322463">
        <w:rPr>
          <w:b/>
          <w:bCs/>
          <w:color w:val="365F91" w:themeColor="accent1" w:themeShade="BF"/>
          <w:lang w:val="it-IT"/>
        </w:rPr>
        <w:t>ă</w:t>
      </w:r>
      <w:r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cire. </w:t>
      </w:r>
    </w:p>
    <w:p w:rsidR="00322463" w:rsidRDefault="00FB16FD" w:rsidP="00322463">
      <w:pPr>
        <w:pStyle w:val="ListParagraph"/>
        <w:numPr>
          <w:ilvl w:val="0"/>
          <w:numId w:val="3"/>
        </w:numPr>
        <w:ind w:left="567" w:hanging="425"/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</w:pPr>
      <w:r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La depozitarea unor materiale (furaje, 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c</w:t>
      </w:r>
      <w:r w:rsidR="00322463">
        <w:rPr>
          <w:b/>
          <w:bCs/>
          <w:color w:val="365F91" w:themeColor="accent1" w:themeShade="BF"/>
          <w:lang w:val="it-IT"/>
        </w:rPr>
        <w:t>ă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rbune, rumegu</w:t>
      </w:r>
      <w:r w:rsidR="00322463">
        <w:rPr>
          <w:b/>
          <w:bCs/>
          <w:color w:val="365F91" w:themeColor="accent1" w:themeShade="BF"/>
          <w:lang w:val="it-IT"/>
        </w:rPr>
        <w:t>ş</w:t>
      </w:r>
      <w:r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, bumbac), 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trebuie avut în vedere faptul c</w:t>
      </w:r>
      <w:r w:rsidR="00322463">
        <w:rPr>
          <w:b/>
          <w:bCs/>
          <w:color w:val="365F91" w:themeColor="accent1" w:themeShade="BF"/>
          <w:lang w:val="it-IT"/>
        </w:rPr>
        <w:t>ă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acestea în condi</w:t>
      </w:r>
      <w:r w:rsidR="00322463">
        <w:rPr>
          <w:b/>
          <w:bCs/>
          <w:color w:val="365F91" w:themeColor="accent1" w:themeShade="BF"/>
          <w:lang w:val="it-IT"/>
        </w:rPr>
        <w:t>ţ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ii specifice de temperatur</w:t>
      </w:r>
      <w:r w:rsidR="00322463">
        <w:rPr>
          <w:b/>
          <w:bCs/>
          <w:color w:val="365F91" w:themeColor="accent1" w:themeShade="BF"/>
          <w:lang w:val="it-IT"/>
        </w:rPr>
        <w:t>ă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</w:t>
      </w:r>
      <w:r w:rsidR="00322463">
        <w:rPr>
          <w:b/>
          <w:bCs/>
          <w:color w:val="365F91" w:themeColor="accent1" w:themeShade="BF"/>
          <w:lang w:val="it-IT"/>
        </w:rPr>
        <w:t>ş</w:t>
      </w:r>
      <w:r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umiditate, se pot autoaprinde.</w:t>
      </w:r>
    </w:p>
    <w:p w:rsidR="00FB16FD" w:rsidRPr="00322463" w:rsidRDefault="00FB16FD" w:rsidP="00322463">
      <w:pPr>
        <w:pStyle w:val="ListParagraph"/>
        <w:numPr>
          <w:ilvl w:val="0"/>
          <w:numId w:val="3"/>
        </w:numPr>
        <w:ind w:left="567" w:hanging="425"/>
        <w:jc w:val="both"/>
        <w:rPr>
          <w:rFonts w:ascii="Baskerville Old Face" w:hAnsi="Baskerville Old Face"/>
          <w:b/>
          <w:bCs/>
          <w:color w:val="365F91" w:themeColor="accent1" w:themeShade="BF"/>
          <w:lang w:val="it-IT"/>
        </w:rPr>
      </w:pPr>
      <w:r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De asemena pe timpul transportului furajelor cu autovehicule t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rebuie avut în vedere buna func</w:t>
      </w:r>
      <w:r w:rsidR="00322463">
        <w:rPr>
          <w:b/>
          <w:bCs/>
          <w:color w:val="365F91" w:themeColor="accent1" w:themeShade="BF"/>
          <w:lang w:val="it-IT"/>
        </w:rPr>
        <w:t>ţ</w:t>
      </w:r>
      <w:r w:rsid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ionare a acestora </w:t>
      </w:r>
      <w:r w:rsidR="00322463">
        <w:rPr>
          <w:b/>
          <w:bCs/>
          <w:color w:val="365F91" w:themeColor="accent1" w:themeShade="BF"/>
          <w:lang w:val="it-IT"/>
        </w:rPr>
        <w:t>ş</w:t>
      </w:r>
      <w:r w:rsidRPr="00322463"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 dotarea lor cu materiale de stingere.</w:t>
      </w:r>
    </w:p>
    <w:p w:rsidR="00322463" w:rsidRDefault="00FB16FD" w:rsidP="00322463">
      <w:pPr>
        <w:autoSpaceDN w:val="0"/>
        <w:adjustRightInd w:val="0"/>
        <w:ind w:left="567" w:hanging="425"/>
        <w:jc w:val="both"/>
        <w:rPr>
          <w:sz w:val="22"/>
          <w:szCs w:val="22"/>
          <w:lang w:val="it-IT"/>
        </w:rPr>
      </w:pPr>
      <w:r w:rsidRPr="00F01C70">
        <w:rPr>
          <w:sz w:val="22"/>
          <w:szCs w:val="22"/>
          <w:lang w:val="it-IT"/>
        </w:rPr>
        <w:t xml:space="preserve">    </w:t>
      </w:r>
    </w:p>
    <w:p w:rsidR="00322463" w:rsidRDefault="00322463" w:rsidP="00E3511A">
      <w:pPr>
        <w:autoSpaceDN w:val="0"/>
        <w:adjustRightInd w:val="0"/>
        <w:jc w:val="both"/>
        <w:rPr>
          <w:sz w:val="22"/>
          <w:szCs w:val="22"/>
          <w:lang w:val="it-IT"/>
        </w:rPr>
      </w:pPr>
    </w:p>
    <w:p w:rsidR="00322463" w:rsidRPr="00C35425" w:rsidRDefault="00322463" w:rsidP="00322463">
      <w:pPr>
        <w:autoSpaceDN w:val="0"/>
        <w:adjustRightInd w:val="0"/>
        <w:ind w:left="567" w:hanging="425"/>
        <w:jc w:val="both"/>
        <w:rPr>
          <w:rFonts w:ascii="Baskerville Old Face" w:hAnsi="Baskerville Old Face"/>
          <w:b/>
          <w:bCs/>
          <w:color w:val="365F91"/>
          <w:lang w:val="it-IT"/>
        </w:rPr>
      </w:pPr>
      <w:r w:rsidRPr="00322463"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  <w:lastRenderedPageBreak/>
        <w:t>Administra</w:t>
      </w:r>
      <w:r w:rsidRPr="00322463">
        <w:rPr>
          <w:b/>
          <w:bCs/>
          <w:color w:val="365F91" w:themeColor="accent1" w:themeShade="BF"/>
          <w:u w:val="single"/>
          <w:lang w:val="it-IT"/>
        </w:rPr>
        <w:t>ţ</w:t>
      </w:r>
      <w:r w:rsidRPr="00322463">
        <w:rPr>
          <w:rFonts w:ascii="Baskerville Old Face" w:hAnsi="Baskerville Old Face"/>
          <w:b/>
          <w:bCs/>
          <w:color w:val="365F91" w:themeColor="accent1" w:themeShade="BF"/>
          <w:u w:val="single"/>
          <w:lang w:val="it-IT"/>
        </w:rPr>
        <w:t>iile publice locale au obliga</w:t>
      </w:r>
      <w:r w:rsidRPr="00322463">
        <w:rPr>
          <w:b/>
          <w:bCs/>
          <w:color w:val="365F91" w:themeColor="accent1" w:themeShade="BF"/>
          <w:u w:val="single"/>
          <w:lang w:val="it-IT"/>
        </w:rPr>
        <w:t>ţ</w:t>
      </w:r>
      <w:r w:rsidRPr="00322463">
        <w:rPr>
          <w:rFonts w:ascii="Baskerville Old Face" w:hAnsi="Baskerville Old Face"/>
          <w:b/>
          <w:bCs/>
          <w:color w:val="365F91"/>
          <w:u w:val="single"/>
          <w:lang w:val="it-IT"/>
        </w:rPr>
        <w:t>ia s</w:t>
      </w:r>
      <w:r w:rsidRPr="00322463">
        <w:rPr>
          <w:b/>
          <w:bCs/>
          <w:color w:val="365F91"/>
          <w:u w:val="single"/>
          <w:lang w:val="it-IT"/>
        </w:rPr>
        <w:t>ă</w:t>
      </w:r>
      <w:r w:rsidRPr="00322463">
        <w:rPr>
          <w:rFonts w:ascii="Baskerville Old Face" w:hAnsi="Baskerville Old Face" w:cs="Baskerville Old Face"/>
          <w:b/>
          <w:bCs/>
          <w:color w:val="365F91"/>
          <w:u w:val="single"/>
          <w:lang w:val="it-IT"/>
        </w:rPr>
        <w:t xml:space="preserve"> ia urm</w:t>
      </w:r>
      <w:r w:rsidRPr="00322463">
        <w:rPr>
          <w:b/>
          <w:bCs/>
          <w:color w:val="365F91"/>
          <w:u w:val="single"/>
          <w:lang w:val="it-IT"/>
        </w:rPr>
        <w:t>ă</w:t>
      </w:r>
      <w:r w:rsidRPr="00322463">
        <w:rPr>
          <w:rFonts w:ascii="Baskerville Old Face" w:hAnsi="Baskerville Old Face" w:cs="Baskerville Old Face"/>
          <w:b/>
          <w:bCs/>
          <w:color w:val="365F91"/>
          <w:u w:val="single"/>
          <w:lang w:val="it-IT"/>
        </w:rPr>
        <w:t>toarele m</w:t>
      </w:r>
      <w:r w:rsidRPr="00322463">
        <w:rPr>
          <w:b/>
          <w:bCs/>
          <w:color w:val="365F91"/>
          <w:u w:val="single"/>
          <w:lang w:val="it-IT"/>
        </w:rPr>
        <w:t>ă</w:t>
      </w:r>
      <w:r w:rsidRPr="00322463">
        <w:rPr>
          <w:rFonts w:ascii="Baskerville Old Face" w:hAnsi="Baskerville Old Face" w:cs="Baskerville Old Face"/>
          <w:b/>
          <w:bCs/>
          <w:color w:val="365F91"/>
          <w:u w:val="single"/>
          <w:lang w:val="it-IT"/>
        </w:rPr>
        <w:t>suri</w:t>
      </w:r>
      <w:r w:rsidRPr="00C35425">
        <w:rPr>
          <w:rFonts w:ascii="Baskerville Old Face" w:hAnsi="Baskerville Old Face" w:cs="Baskerville Old Face"/>
          <w:b/>
          <w:bCs/>
          <w:color w:val="365F91"/>
          <w:lang w:val="it-IT"/>
        </w:rPr>
        <w:t>:</w:t>
      </w:r>
    </w:p>
    <w:p w:rsidR="00322463" w:rsidRPr="00C35425" w:rsidRDefault="00322463" w:rsidP="00322463">
      <w:pPr>
        <w:pStyle w:val="ListParagraph"/>
        <w:numPr>
          <w:ilvl w:val="0"/>
          <w:numId w:val="5"/>
        </w:numPr>
        <w:autoSpaceDN w:val="0"/>
        <w:adjustRightInd w:val="0"/>
        <w:ind w:left="567" w:hanging="425"/>
        <w:jc w:val="both"/>
        <w:rPr>
          <w:rFonts w:ascii="Baskerville Old Face" w:hAnsi="Baskerville Old Face"/>
          <w:b/>
          <w:bCs/>
          <w:color w:val="365F91"/>
          <w:lang w:val="it-IT"/>
        </w:rPr>
      </w:pP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afi</w:t>
      </w:r>
      <w:r>
        <w:rPr>
          <w:b/>
          <w:bCs/>
          <w:color w:val="365F91" w:themeColor="accent1" w:themeShade="BF"/>
          <w:lang w:val="it-IT"/>
        </w:rPr>
        <w:t>ş</w:t>
      </w:r>
      <w:r w:rsidRPr="00C35425">
        <w:rPr>
          <w:rFonts w:ascii="Baskerville Old Face" w:hAnsi="Baskerville Old Face"/>
          <w:b/>
          <w:bCs/>
          <w:color w:val="365F91"/>
          <w:lang w:val="it-IT"/>
        </w:rPr>
        <w:t>area în l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ocurile des frecventate de cet</w:t>
      </w:r>
      <w:r>
        <w:rPr>
          <w:b/>
          <w:bCs/>
          <w:color w:val="365F91" w:themeColor="accent1" w:themeShade="BF"/>
          <w:lang w:val="it-IT"/>
        </w:rPr>
        <w:t>ăţ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eni a regulilor </w:t>
      </w:r>
      <w:r>
        <w:rPr>
          <w:b/>
          <w:bCs/>
          <w:color w:val="365F91" w:themeColor="accent1" w:themeShade="BF"/>
          <w:lang w:val="it-IT"/>
        </w:rPr>
        <w:t>ş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 m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surilor de prevenire </w:t>
      </w:r>
      <w:r>
        <w:rPr>
          <w:b/>
          <w:bCs/>
          <w:color w:val="365F91" w:themeColor="accent1" w:themeShade="BF"/>
          <w:lang w:val="it-IT"/>
        </w:rPr>
        <w:t>ş</w:t>
      </w:r>
      <w:r w:rsidRPr="00C35425">
        <w:rPr>
          <w:rFonts w:ascii="Baskerville Old Face" w:hAnsi="Baskerville Old Face"/>
          <w:b/>
          <w:bCs/>
          <w:color w:val="365F91"/>
          <w:lang w:val="it-IT"/>
        </w:rPr>
        <w:t>i stingere a incendiilor specifice acestei perioade</w:t>
      </w:r>
      <w:r w:rsidR="001F2FDA">
        <w:rPr>
          <w:rFonts w:ascii="Baskerville Old Face" w:hAnsi="Baskerville Old Face"/>
          <w:b/>
          <w:bCs/>
          <w:color w:val="365F91"/>
          <w:lang w:val="it-IT"/>
        </w:rPr>
        <w:t>.</w:t>
      </w:r>
    </w:p>
    <w:p w:rsidR="00322463" w:rsidRPr="00C35425" w:rsidRDefault="00322463" w:rsidP="00322463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Baskerville Old Face" w:hAnsi="Baskerville Old Face"/>
          <w:b/>
          <w:bCs/>
          <w:color w:val="365F91"/>
          <w:lang w:val="it-IT"/>
        </w:rPr>
      </w:pPr>
      <w:r w:rsidRPr="00C35425">
        <w:rPr>
          <w:rFonts w:ascii="Baskerville Old Face" w:hAnsi="Baskerville Old Face"/>
          <w:b/>
          <w:bCs/>
          <w:color w:val="365F91"/>
          <w:lang w:val="it-IT"/>
        </w:rPr>
        <w:t>stabilirea loc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urilor unde se pot efectua lucr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ri cu foc deschis </w:t>
      </w:r>
      <w:r>
        <w:rPr>
          <w:b/>
          <w:bCs/>
          <w:color w:val="365F91" w:themeColor="accent1" w:themeShade="BF"/>
          <w:lang w:val="it-IT"/>
        </w:rPr>
        <w:t>ş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 persoanele desemnate s</w:t>
      </w:r>
      <w:r>
        <w:rPr>
          <w:b/>
          <w:bCs/>
          <w:color w:val="365F91" w:themeColor="accent1" w:themeShade="BF"/>
          <w:lang w:val="it-IT"/>
        </w:rPr>
        <w:t>ă</w:t>
      </w:r>
      <w:r w:rsidRPr="00C35425">
        <w:rPr>
          <w:rFonts w:ascii="Baskerville Old Face" w:hAnsi="Baskerville Old Face"/>
          <w:b/>
          <w:bCs/>
          <w:color w:val="365F91"/>
          <w:lang w:val="it-IT"/>
        </w:rPr>
        <w:t xml:space="preserve"> supravegheze</w:t>
      </w:r>
      <w:r w:rsidR="001F2FDA">
        <w:rPr>
          <w:rFonts w:ascii="Baskerville Old Face" w:hAnsi="Baskerville Old Face"/>
          <w:b/>
          <w:bCs/>
          <w:color w:val="365F91"/>
          <w:lang w:val="it-IT"/>
        </w:rPr>
        <w:t>.</w:t>
      </w:r>
    </w:p>
    <w:p w:rsidR="00322463" w:rsidRPr="00C35425" w:rsidRDefault="00322463" w:rsidP="00322463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Baskerville Old Face" w:hAnsi="Baskerville Old Face"/>
          <w:b/>
          <w:bCs/>
          <w:color w:val="365F91"/>
          <w:lang w:val="it-IT"/>
        </w:rPr>
      </w:pP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interdic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ia utiliz</w:t>
      </w:r>
      <w:r>
        <w:rPr>
          <w:b/>
          <w:bCs/>
          <w:color w:val="365F91" w:themeColor="accent1" w:themeShade="BF"/>
          <w:lang w:val="it-IT"/>
        </w:rPr>
        <w:t>ă</w:t>
      </w:r>
      <w:r w:rsidRPr="00C35425">
        <w:rPr>
          <w:rFonts w:ascii="Baskerville Old Face" w:hAnsi="Baskerville Old Face"/>
          <w:b/>
          <w:bCs/>
          <w:color w:val="365F91"/>
          <w:lang w:val="it-IT"/>
        </w:rPr>
        <w:t>rii focul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ui deschis în apropierea locuin</w:t>
      </w:r>
      <w:r>
        <w:rPr>
          <w:b/>
          <w:bCs/>
          <w:color w:val="365F91" w:themeColor="accent1" w:themeShade="BF"/>
          <w:lang w:val="it-IT"/>
        </w:rPr>
        <w:t>ţ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elor, anexelor gospod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re</w:t>
      </w:r>
      <w:r>
        <w:rPr>
          <w:b/>
          <w:bCs/>
          <w:color w:val="365F91" w:themeColor="accent1" w:themeShade="BF"/>
          <w:lang w:val="it-IT"/>
        </w:rPr>
        <w:t>ş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ti </w:t>
      </w:r>
      <w:r>
        <w:rPr>
          <w:b/>
          <w:bCs/>
          <w:color w:val="365F91" w:themeColor="accent1" w:themeShade="BF"/>
          <w:lang w:val="it-IT"/>
        </w:rPr>
        <w:t>ş</w:t>
      </w:r>
      <w:r w:rsidRPr="00C35425">
        <w:rPr>
          <w:rFonts w:ascii="Baskerville Old Face" w:hAnsi="Baskerville Old Face"/>
          <w:b/>
          <w:bCs/>
          <w:color w:val="365F91"/>
          <w:lang w:val="it-IT"/>
        </w:rPr>
        <w:t xml:space="preserve">i a depozitelor de furaje, 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pe terenuri acoperite de vegeta</w:t>
      </w:r>
      <w:r>
        <w:rPr>
          <w:b/>
          <w:bCs/>
          <w:color w:val="365F91" w:themeColor="accent1" w:themeShade="BF"/>
          <w:lang w:val="it-IT"/>
        </w:rPr>
        <w:t>ţ</w:t>
      </w:r>
      <w:r w:rsidRPr="00C35425">
        <w:rPr>
          <w:rFonts w:ascii="Baskerville Old Face" w:hAnsi="Baskerville Old Face"/>
          <w:b/>
          <w:bCs/>
          <w:color w:val="365F91"/>
          <w:lang w:val="it-IT"/>
        </w:rPr>
        <w:t xml:space="preserve">ie 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uscat</w:t>
      </w:r>
      <w:r>
        <w:rPr>
          <w:b/>
          <w:bCs/>
          <w:color w:val="365F91" w:themeColor="accent1" w:themeShade="BF"/>
          <w:lang w:val="it-IT"/>
        </w:rPr>
        <w:t>ă</w:t>
      </w:r>
      <w:r w:rsidRPr="00C35425">
        <w:rPr>
          <w:rFonts w:ascii="Baskerville Old Face" w:hAnsi="Baskerville Old Face"/>
          <w:b/>
          <w:bCs/>
          <w:color w:val="365F91"/>
          <w:lang w:val="it-IT"/>
        </w:rPr>
        <w:t xml:space="preserve"> mai ales când s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unt amplasate în apropiere de p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duri, planta</w:t>
      </w:r>
      <w:r>
        <w:rPr>
          <w:b/>
          <w:bCs/>
          <w:color w:val="365F91" w:themeColor="accent1" w:themeShade="BF"/>
          <w:lang w:val="it-IT"/>
        </w:rPr>
        <w:t>ţ</w:t>
      </w:r>
      <w:r w:rsidRPr="00C35425">
        <w:rPr>
          <w:rFonts w:ascii="Baskerville Old Face" w:hAnsi="Baskerville Old Face"/>
          <w:b/>
          <w:bCs/>
          <w:color w:val="365F91"/>
          <w:lang w:val="it-IT"/>
        </w:rPr>
        <w:t>ii sau obiective cu risc ridicat de incendiu</w:t>
      </w:r>
      <w:r w:rsidR="001F2FDA">
        <w:rPr>
          <w:rFonts w:ascii="Baskerville Old Face" w:hAnsi="Baskerville Old Face"/>
          <w:b/>
          <w:bCs/>
          <w:color w:val="365F91"/>
          <w:lang w:val="it-IT"/>
        </w:rPr>
        <w:t>.</w:t>
      </w:r>
    </w:p>
    <w:p w:rsidR="00322463" w:rsidRPr="00C35425" w:rsidRDefault="00322463" w:rsidP="00322463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Baskerville Old Face" w:hAnsi="Baskerville Old Face"/>
          <w:b/>
          <w:bCs/>
          <w:color w:val="365F91"/>
          <w:lang w:val="it-IT"/>
        </w:rPr>
      </w:pP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aten</w:t>
      </w:r>
      <w:r>
        <w:rPr>
          <w:b/>
          <w:bCs/>
          <w:color w:val="365F91" w:themeColor="accent1" w:themeShade="BF"/>
          <w:lang w:val="it-IT"/>
        </w:rPr>
        <w:t>ţ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ionarea împreun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</w:t>
      </w:r>
      <w:r w:rsidRPr="00C35425">
        <w:rPr>
          <w:rFonts w:ascii="Baskerville Old Face" w:hAnsi="Baskerville Old Face"/>
          <w:b/>
          <w:bCs/>
          <w:color w:val="365F91"/>
          <w:lang w:val="it-IT"/>
        </w:rPr>
        <w:t>cu administratorii fondulu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 silvic, a celor ce tranziteaz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p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durea sau desf</w:t>
      </w:r>
      <w:r>
        <w:rPr>
          <w:b/>
          <w:bCs/>
          <w:color w:val="365F91" w:themeColor="accent1" w:themeShade="BF"/>
          <w:lang w:val="it-IT"/>
        </w:rPr>
        <w:t>ăş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oar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activit</w:t>
      </w:r>
      <w:r>
        <w:rPr>
          <w:b/>
          <w:bCs/>
          <w:color w:val="365F91" w:themeColor="accent1" w:themeShade="BF"/>
          <w:lang w:val="it-IT"/>
        </w:rPr>
        <w:t>ăţ</w:t>
      </w:r>
      <w:r w:rsidRPr="00C35425">
        <w:rPr>
          <w:rFonts w:ascii="Baskerville Old Face" w:hAnsi="Baskerville Old Face"/>
          <w:b/>
          <w:bCs/>
          <w:color w:val="365F91"/>
          <w:lang w:val="it-IT"/>
        </w:rPr>
        <w:t>i în acest areal, asupra consec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in</w:t>
      </w:r>
      <w:r>
        <w:rPr>
          <w:b/>
          <w:bCs/>
          <w:color w:val="365F91" w:themeColor="accent1" w:themeShade="BF"/>
          <w:lang w:val="it-IT"/>
        </w:rPr>
        <w:t>ţ</w:t>
      </w:r>
      <w:r w:rsidRPr="00C35425">
        <w:rPr>
          <w:rFonts w:ascii="Baskerville Old Face" w:hAnsi="Baskerville Old Face"/>
          <w:b/>
          <w:bCs/>
          <w:color w:val="365F91"/>
          <w:lang w:val="it-IT"/>
        </w:rPr>
        <w:t>elor pe care le pot avea folosirea focului desch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is  sau fumatul în p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dure (în p</w:t>
      </w:r>
      <w:r>
        <w:rPr>
          <w:b/>
          <w:bCs/>
          <w:color w:val="365F91" w:themeColor="accent1" w:themeShade="BF"/>
          <w:lang w:val="it-IT"/>
        </w:rPr>
        <w:t>ă</w:t>
      </w:r>
      <w:r w:rsidRPr="00C35425">
        <w:rPr>
          <w:rFonts w:ascii="Baskerville Old Face" w:hAnsi="Baskerville Old Face"/>
          <w:b/>
          <w:bCs/>
          <w:color w:val="365F91"/>
          <w:lang w:val="it-IT"/>
        </w:rPr>
        <w:t>dure focul se va face în l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ocuri special amenajate iar dac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 acestea nu exist</w:t>
      </w:r>
      <w:r>
        <w:rPr>
          <w:b/>
          <w:bCs/>
          <w:color w:val="365F91" w:themeColor="accent1" w:themeShade="BF"/>
          <w:lang w:val="it-IT"/>
        </w:rPr>
        <w:t>ă</w:t>
      </w:r>
      <w:r w:rsidRPr="00C35425">
        <w:rPr>
          <w:rFonts w:ascii="Baskerville Old Face" w:hAnsi="Baskerville Old Face"/>
          <w:b/>
          <w:bCs/>
          <w:color w:val="365F91"/>
          <w:lang w:val="it-IT"/>
        </w:rPr>
        <w:t xml:space="preserve"> focul se 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va face în locuri cât mai îndep</w:t>
      </w:r>
      <w:r>
        <w:rPr>
          <w:b/>
          <w:bCs/>
          <w:color w:val="365F91" w:themeColor="accent1" w:themeShade="BF"/>
          <w:lang w:val="it-IT"/>
        </w:rPr>
        <w:t>ă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 xml:space="preserve">rtate de arbori </w:t>
      </w:r>
      <w:r>
        <w:rPr>
          <w:b/>
          <w:bCs/>
          <w:color w:val="365F91" w:themeColor="accent1" w:themeShade="BF"/>
          <w:lang w:val="it-IT"/>
        </w:rPr>
        <w:t>ş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 vegeta</w:t>
      </w:r>
      <w:r>
        <w:rPr>
          <w:b/>
          <w:bCs/>
          <w:color w:val="365F91" w:themeColor="accent1" w:themeShade="BF"/>
          <w:lang w:val="it-IT"/>
        </w:rPr>
        <w:t>ţ</w:t>
      </w:r>
      <w:r>
        <w:rPr>
          <w:rFonts w:ascii="Baskerville Old Face" w:hAnsi="Baskerville Old Face"/>
          <w:b/>
          <w:bCs/>
          <w:color w:val="365F91" w:themeColor="accent1" w:themeShade="BF"/>
          <w:lang w:val="it-IT"/>
        </w:rPr>
        <w:t>ie</w:t>
      </w:r>
      <w:r w:rsidR="00E3511A">
        <w:rPr>
          <w:rFonts w:ascii="Baskerville Old Face" w:hAnsi="Baskerville Old Face"/>
          <w:b/>
          <w:bCs/>
          <w:color w:val="365F91"/>
          <w:lang w:val="it-IT"/>
        </w:rPr>
        <w:t>; la plecare se va stinge jarul</w:t>
      </w:r>
      <w:r w:rsidRPr="00C35425">
        <w:rPr>
          <w:rFonts w:ascii="Baskerville Old Face" w:hAnsi="Baskerville Old Face"/>
          <w:b/>
          <w:bCs/>
          <w:color w:val="365F91"/>
          <w:lang w:val="it-IT"/>
        </w:rPr>
        <w:t>!)</w:t>
      </w:r>
      <w:r w:rsidR="001F2FDA">
        <w:rPr>
          <w:rFonts w:ascii="Baskerville Old Face" w:hAnsi="Baskerville Old Face"/>
          <w:b/>
          <w:bCs/>
          <w:color w:val="365F91"/>
          <w:lang w:val="it-IT"/>
        </w:rPr>
        <w:t>.</w:t>
      </w:r>
    </w:p>
    <w:p w:rsidR="00FB16FD" w:rsidRPr="00F01C70" w:rsidRDefault="00FB16FD" w:rsidP="00FB16FD">
      <w:pPr>
        <w:jc w:val="both"/>
        <w:rPr>
          <w:sz w:val="22"/>
          <w:szCs w:val="22"/>
          <w:lang w:val="it-IT"/>
        </w:rPr>
      </w:pPr>
      <w:r w:rsidRPr="00F01C70">
        <w:rPr>
          <w:sz w:val="22"/>
          <w:szCs w:val="22"/>
          <w:lang w:val="it-IT"/>
        </w:rPr>
        <w:t xml:space="preserve">     </w:t>
      </w:r>
    </w:p>
    <w:p w:rsidR="00EC0DF9" w:rsidRDefault="00EC0DF9" w:rsidP="00023087"/>
    <w:sectPr w:rsidR="00EC0DF9" w:rsidSect="00FB16FD">
      <w:type w:val="continuous"/>
      <w:pgSz w:w="15840" w:h="12240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7509"/>
    <w:multiLevelType w:val="hybridMultilevel"/>
    <w:tmpl w:val="62106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17D05"/>
    <w:multiLevelType w:val="hybridMultilevel"/>
    <w:tmpl w:val="AAA04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76F21"/>
    <w:multiLevelType w:val="hybridMultilevel"/>
    <w:tmpl w:val="F3A6C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7189A"/>
    <w:multiLevelType w:val="hybridMultilevel"/>
    <w:tmpl w:val="EE083020"/>
    <w:lvl w:ilvl="0" w:tplc="E56638DE">
      <w:start w:val="15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F7072"/>
    <w:multiLevelType w:val="hybridMultilevel"/>
    <w:tmpl w:val="21004B42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48EC"/>
    <w:rsid w:val="000048EC"/>
    <w:rsid w:val="00023087"/>
    <w:rsid w:val="001246BB"/>
    <w:rsid w:val="00152535"/>
    <w:rsid w:val="001F2FDA"/>
    <w:rsid w:val="002E30F2"/>
    <w:rsid w:val="00322463"/>
    <w:rsid w:val="003B1326"/>
    <w:rsid w:val="005D099B"/>
    <w:rsid w:val="006460E9"/>
    <w:rsid w:val="00797BDE"/>
    <w:rsid w:val="008F5ED3"/>
    <w:rsid w:val="00AD5B24"/>
    <w:rsid w:val="00B133B5"/>
    <w:rsid w:val="00D32C0E"/>
    <w:rsid w:val="00E3511A"/>
    <w:rsid w:val="00E54A9E"/>
    <w:rsid w:val="00EC0DF9"/>
    <w:rsid w:val="00FB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0048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460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E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4Char">
    <w:name w:val="Heading 4 Char"/>
    <w:basedOn w:val="DefaultParagraphFont"/>
    <w:link w:val="Heading4"/>
    <w:rsid w:val="000048E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6460E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646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1DFE-B74F-47EA-AA10-766AE037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Lt.Pop</dc:creator>
  <cp:lastModifiedBy>ovidiu.leuca</cp:lastModifiedBy>
  <cp:revision>3</cp:revision>
  <cp:lastPrinted>2018-06-05T08:52:00Z</cp:lastPrinted>
  <dcterms:created xsi:type="dcterms:W3CDTF">2021-06-22T09:14:00Z</dcterms:created>
  <dcterms:modified xsi:type="dcterms:W3CDTF">2021-06-22T09:14:00Z</dcterms:modified>
</cp:coreProperties>
</file>