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A371" w14:textId="77777777" w:rsidR="007F0CB2" w:rsidRPr="006C24C8" w:rsidRDefault="007F0CB2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023B0BAB" w14:textId="2C97C279" w:rsidR="00CF1D65" w:rsidRPr="007F0CB2" w:rsidRDefault="000B34E3" w:rsidP="00DE6F6A">
      <w:pPr>
        <w:tabs>
          <w:tab w:val="left" w:pos="980"/>
        </w:tabs>
        <w:rPr>
          <w:szCs w:val="24"/>
          <w:lang w:val="ro-RO"/>
        </w:rPr>
      </w:pPr>
      <w:r w:rsidRPr="007F0CB2">
        <w:rPr>
          <w:szCs w:val="24"/>
          <w:lang w:val="ro-RO"/>
        </w:rPr>
        <w:t>Anexa</w:t>
      </w:r>
      <w:r w:rsidR="004847F4" w:rsidRPr="007F0CB2">
        <w:rPr>
          <w:szCs w:val="24"/>
          <w:lang w:val="ro-RO"/>
        </w:rPr>
        <w:t xml:space="preserve"> nr.</w:t>
      </w:r>
      <w:r w:rsidRPr="007F0CB2">
        <w:rPr>
          <w:szCs w:val="24"/>
          <w:lang w:val="ro-RO"/>
        </w:rPr>
        <w:t xml:space="preserve"> 1</w:t>
      </w:r>
      <w:r w:rsidRPr="007F0CB2">
        <w:rPr>
          <w:szCs w:val="24"/>
          <w:lang w:val="ro-RO"/>
        </w:rPr>
        <w:tab/>
      </w:r>
      <w:r w:rsidR="008231E0">
        <w:rPr>
          <w:szCs w:val="24"/>
          <w:lang w:val="ro-RO"/>
        </w:rPr>
        <w:t>la HCL nr. 11/27.01.2022</w:t>
      </w:r>
    </w:p>
    <w:p w14:paraId="70E17463" w14:textId="7A493BDE" w:rsidR="00DE6F6A" w:rsidRPr="006C24C8" w:rsidRDefault="00DE6F6A" w:rsidP="00DE6F6A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</w:t>
      </w:r>
      <w:proofErr w:type="spellStart"/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tehnico</w:t>
      </w:r>
      <w:proofErr w:type="spellEnd"/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-economici la obiectivul de </w:t>
      </w:r>
      <w:r w:rsidR="007C2834"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învestiții</w:t>
      </w: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97FB681" w14:textId="77777777" w:rsidR="002B338E" w:rsidRPr="006C24C8" w:rsidRDefault="002B338E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C24C8">
        <w:rPr>
          <w:szCs w:val="24"/>
          <w:lang w:val="ro-RO"/>
        </w:rPr>
        <w:t>“</w:t>
      </w: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Implementarea măsurilor de </w:t>
      </w:r>
      <w:proofErr w:type="spellStart"/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eficienţă</w:t>
      </w:r>
      <w:proofErr w:type="spellEnd"/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energetică la sala de sport a </w:t>
      </w:r>
    </w:p>
    <w:p w14:paraId="13895971" w14:textId="5452050D" w:rsidR="002B338E" w:rsidRPr="006C24C8" w:rsidRDefault="002912EC" w:rsidP="002B338E">
      <w:pPr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Școlii</w:t>
      </w:r>
      <w:r w:rsidR="002B338E" w:rsidRPr="006C24C8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 gimnaziale Bălcescu-Petőfi” </w:t>
      </w:r>
    </w:p>
    <w:p w14:paraId="0081BC2B" w14:textId="77777777" w:rsidR="00250050" w:rsidRPr="006C24C8" w:rsidRDefault="00250050" w:rsidP="00250050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7BEBF8DE" w14:textId="2B26EE33" w:rsidR="00D22BA8" w:rsidRPr="006C24C8" w:rsidRDefault="00D22BA8" w:rsidP="007C2834">
      <w:pPr>
        <w:pStyle w:val="Heading3"/>
        <w:numPr>
          <w:ilvl w:val="0"/>
          <w:numId w:val="13"/>
        </w:numPr>
        <w:ind w:left="0" w:firstLine="0"/>
        <w:rPr>
          <w:color w:val="000000" w:themeColor="text1"/>
          <w:lang w:val="ro-RO" w:eastAsia="ro-RO"/>
        </w:rPr>
      </w:pPr>
      <w:r w:rsidRPr="006C24C8">
        <w:rPr>
          <w:color w:val="000000" w:themeColor="text1"/>
          <w:lang w:val="ro-RO" w:eastAsia="ro-RO"/>
        </w:rPr>
        <w:t xml:space="preserve">indicatori maximali, respectiv valoarea totală a obiectului de </w:t>
      </w:r>
      <w:r w:rsidR="002912EC" w:rsidRPr="006C24C8">
        <w:rPr>
          <w:color w:val="000000" w:themeColor="text1"/>
          <w:lang w:val="ro-RO" w:eastAsia="ro-RO"/>
        </w:rPr>
        <w:t>investiții</w:t>
      </w:r>
      <w:r w:rsidRPr="006C24C8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2912EC" w:rsidRPr="006C24C8">
        <w:rPr>
          <w:color w:val="000000" w:themeColor="text1"/>
          <w:lang w:val="ro-RO" w:eastAsia="ro-RO"/>
        </w:rPr>
        <w:t>construcții</w:t>
      </w:r>
      <w:r w:rsidRPr="006C24C8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6B761A6" w14:textId="77777777" w:rsidR="00D22BA8" w:rsidRPr="006C24C8" w:rsidRDefault="00D22BA8" w:rsidP="00D22B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0" w:name="_Toc515024563"/>
      <w:r w:rsidRPr="006C24C8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C24C8">
        <w:rPr>
          <w:rFonts w:ascii="Cambria" w:hAnsi="Cambria"/>
          <w:szCs w:val="24"/>
          <w:lang w:val="ro-RO"/>
        </w:rPr>
        <w:t>:</w:t>
      </w:r>
    </w:p>
    <w:p w14:paraId="6429E0AA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inclusiv T.V.A. – total:   </w:t>
      </w:r>
      <w:r w:rsidRPr="006C24C8">
        <w:rPr>
          <w:b/>
          <w:szCs w:val="24"/>
        </w:rPr>
        <w:t xml:space="preserve">4.112.102,39 </w:t>
      </w:r>
      <w:r w:rsidRPr="006C24C8">
        <w:rPr>
          <w:b/>
          <w:color w:val="000000" w:themeColor="text1"/>
          <w:szCs w:val="24"/>
        </w:rPr>
        <w:t>lei;</w:t>
      </w:r>
    </w:p>
    <w:p w14:paraId="359CBEE9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exclusiv T.V.A. – total:  </w:t>
      </w:r>
      <w:r w:rsidRPr="006C24C8">
        <w:rPr>
          <w:b/>
          <w:szCs w:val="24"/>
        </w:rPr>
        <w:t xml:space="preserve">3.460.292,19 </w:t>
      </w:r>
      <w:r w:rsidRPr="006C24C8">
        <w:rPr>
          <w:b/>
          <w:color w:val="000000" w:themeColor="text1"/>
          <w:szCs w:val="24"/>
        </w:rPr>
        <w:t>lei;</w:t>
      </w:r>
    </w:p>
    <w:p w14:paraId="5954D2B9" w14:textId="77777777" w:rsidR="00D22BA8" w:rsidRPr="006C24C8" w:rsidRDefault="00D22BA8" w:rsidP="00D22B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r w:rsidRPr="006C24C8">
        <w:rPr>
          <w:rFonts w:ascii="Cambria" w:hAnsi="Cambria"/>
          <w:b/>
          <w:szCs w:val="24"/>
          <w:lang w:val="ro-RO"/>
        </w:rPr>
        <w:t>CONSTRUCȚII-MONTAJ</w:t>
      </w:r>
      <w:r w:rsidRPr="006C24C8">
        <w:rPr>
          <w:rFonts w:ascii="Cambria" w:hAnsi="Cambria"/>
          <w:szCs w:val="24"/>
          <w:lang w:val="ro-RO"/>
        </w:rPr>
        <w:t xml:space="preserve"> (C + M):</w:t>
      </w:r>
    </w:p>
    <w:p w14:paraId="2624FA7F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inclusiv T.V.A. : </w:t>
      </w:r>
      <w:r w:rsidRPr="006C24C8">
        <w:rPr>
          <w:b/>
          <w:szCs w:val="24"/>
        </w:rPr>
        <w:t xml:space="preserve">3.214.317,33 </w:t>
      </w:r>
      <w:r w:rsidRPr="006C24C8">
        <w:rPr>
          <w:b/>
          <w:color w:val="000000" w:themeColor="text1"/>
          <w:szCs w:val="24"/>
        </w:rPr>
        <w:t>lei</w:t>
      </w:r>
      <w:r w:rsidRPr="006C24C8">
        <w:rPr>
          <w:color w:val="000000" w:themeColor="text1"/>
          <w:szCs w:val="24"/>
        </w:rPr>
        <w:t>;</w:t>
      </w:r>
    </w:p>
    <w:p w14:paraId="73AA9434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szCs w:val="24"/>
        </w:rPr>
        <w:t xml:space="preserve">exclusiv T.V.A. : </w:t>
      </w:r>
      <w:r w:rsidRPr="006C24C8">
        <w:rPr>
          <w:b/>
          <w:szCs w:val="24"/>
        </w:rPr>
        <w:t>2.701.107,00</w:t>
      </w:r>
      <w:r w:rsidRPr="006C24C8">
        <w:rPr>
          <w:rStyle w:val="CommentReference"/>
          <w:sz w:val="24"/>
          <w:szCs w:val="24"/>
        </w:rPr>
        <w:t xml:space="preserve"> </w:t>
      </w:r>
      <w:r w:rsidRPr="006C24C8">
        <w:rPr>
          <w:b/>
          <w:color w:val="000000" w:themeColor="text1"/>
          <w:szCs w:val="24"/>
        </w:rPr>
        <w:t>lei.</w:t>
      </w:r>
    </w:p>
    <w:p w14:paraId="72048653" w14:textId="4D50E142" w:rsidR="00D22BA8" w:rsidRPr="006C24C8" w:rsidRDefault="00D22BA8" w:rsidP="002912EC">
      <w:pPr>
        <w:pStyle w:val="Heading3"/>
        <w:jc w:val="both"/>
        <w:rPr>
          <w:color w:val="000000" w:themeColor="text1"/>
          <w:lang w:val="ro-RO" w:eastAsia="ro-RO"/>
        </w:rPr>
      </w:pPr>
      <w:r w:rsidRPr="006C24C8">
        <w:rPr>
          <w:color w:val="000000" w:themeColor="text1"/>
          <w:lang w:val="ro-RO" w:eastAsia="ro-RO"/>
        </w:rPr>
        <w:t xml:space="preserve">B. indicatori minimali, respectiv indicatori de </w:t>
      </w:r>
      <w:r w:rsidR="002912EC" w:rsidRPr="006C24C8">
        <w:rPr>
          <w:color w:val="000000" w:themeColor="text1"/>
          <w:lang w:val="ro-RO" w:eastAsia="ro-RO"/>
        </w:rPr>
        <w:t>performanță</w:t>
      </w:r>
      <w:r w:rsidRPr="006C24C8">
        <w:rPr>
          <w:color w:val="000000" w:themeColor="text1"/>
          <w:lang w:val="ro-RO" w:eastAsia="ro-RO"/>
        </w:rPr>
        <w:t xml:space="preserve"> - elemente fizice/</w:t>
      </w:r>
      <w:r w:rsidR="002912EC" w:rsidRPr="006C24C8">
        <w:rPr>
          <w:color w:val="000000" w:themeColor="text1"/>
          <w:lang w:val="ro-RO" w:eastAsia="ro-RO"/>
        </w:rPr>
        <w:t>capacități</w:t>
      </w:r>
      <w:r w:rsidRPr="006C24C8">
        <w:rPr>
          <w:color w:val="000000" w:themeColor="text1"/>
          <w:lang w:val="ro-RO" w:eastAsia="ro-RO"/>
        </w:rPr>
        <w:t xml:space="preserve"> fizice care să indice atingerea </w:t>
      </w:r>
      <w:r w:rsidR="002912EC" w:rsidRPr="006C24C8">
        <w:rPr>
          <w:color w:val="000000" w:themeColor="text1"/>
          <w:lang w:val="ro-RO" w:eastAsia="ro-RO"/>
        </w:rPr>
        <w:t>țintei</w:t>
      </w:r>
      <w:r w:rsidRPr="006C24C8">
        <w:rPr>
          <w:color w:val="000000" w:themeColor="text1"/>
          <w:lang w:val="ro-RO" w:eastAsia="ro-RO"/>
        </w:rPr>
        <w:t xml:space="preserve"> obiectivului de </w:t>
      </w:r>
      <w:r w:rsidR="002912EC" w:rsidRPr="006C24C8">
        <w:rPr>
          <w:color w:val="000000" w:themeColor="text1"/>
          <w:lang w:val="ro-RO" w:eastAsia="ro-RO"/>
        </w:rPr>
        <w:t>investiții</w:t>
      </w:r>
      <w:r w:rsidRPr="006C24C8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0"/>
      <w:r w:rsidRPr="006C24C8">
        <w:rPr>
          <w:color w:val="000000" w:themeColor="text1"/>
          <w:lang w:val="ro-RO" w:eastAsia="ro-RO"/>
        </w:rPr>
        <w:t>:</w:t>
      </w:r>
    </w:p>
    <w:p w14:paraId="32A20CAC" w14:textId="77777777" w:rsidR="00D22BA8" w:rsidRPr="006C24C8" w:rsidRDefault="00D22BA8" w:rsidP="002912E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>Consumul total anual specific de energie finala de: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 xml:space="preserve"> : 161,02 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kWh/m</w:t>
      </w:r>
      <w:r w:rsidRPr="006C24C8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an.</w:t>
      </w:r>
    </w:p>
    <w:p w14:paraId="0DCCF954" w14:textId="77777777" w:rsidR="00D22BA8" w:rsidRPr="006C24C8" w:rsidRDefault="00D22BA8" w:rsidP="002912E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Consumul total anual specific de energie finala pentru încălzire corespunzător clădirii izolate termic: 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 xml:space="preserve">93,33 </w:t>
      </w:r>
      <w:r w:rsidRPr="006C24C8">
        <w:rPr>
          <w:rFonts w:ascii="Cambria" w:hAnsi="Cambria"/>
          <w:color w:val="000000" w:themeColor="text1"/>
          <w:szCs w:val="24"/>
          <w:lang w:val="ro-RO"/>
        </w:rPr>
        <w:t>kWh/m</w:t>
      </w:r>
      <w:r w:rsidRPr="006C24C8">
        <w:rPr>
          <w:rFonts w:ascii="Cambria" w:hAnsi="Cambria"/>
          <w:color w:val="000000" w:themeColor="text1"/>
          <w:szCs w:val="24"/>
          <w:vertAlign w:val="superscript"/>
          <w:lang w:val="ro-RO"/>
        </w:rPr>
        <w:t>2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(</w:t>
      </w:r>
      <w:proofErr w:type="spellStart"/>
      <w:r w:rsidRPr="006C24C8">
        <w:rPr>
          <w:rFonts w:ascii="Cambria" w:hAnsi="Cambria"/>
          <w:color w:val="000000" w:themeColor="text1"/>
          <w:szCs w:val="24"/>
          <w:lang w:val="ro-RO"/>
        </w:rPr>
        <w:t>a.u</w:t>
      </w:r>
      <w:proofErr w:type="spellEnd"/>
      <w:r w:rsidRPr="006C24C8">
        <w:rPr>
          <w:rFonts w:ascii="Cambria" w:hAnsi="Cambria"/>
          <w:color w:val="000000" w:themeColor="text1"/>
          <w:szCs w:val="24"/>
          <w:lang w:val="ro-RO"/>
        </w:rPr>
        <w:t>.) şi an.</w:t>
      </w:r>
    </w:p>
    <w:p w14:paraId="0B85D300" w14:textId="77777777" w:rsidR="00D22BA8" w:rsidRPr="006C24C8" w:rsidRDefault="00D22BA8" w:rsidP="002912EC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>Reducerea anuală a emisiilor de gaze cu efect de seră echivalent CO</w:t>
      </w:r>
      <w:r w:rsidRPr="006C24C8">
        <w:rPr>
          <w:rFonts w:ascii="Cambria" w:hAnsi="Cambria"/>
          <w:color w:val="000000" w:themeColor="text1"/>
          <w:szCs w:val="24"/>
          <w:vertAlign w:val="subscript"/>
          <w:lang w:val="ro-RO"/>
        </w:rPr>
        <w:t xml:space="preserve">2 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: 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>46.137,73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kg CO</w:t>
      </w:r>
      <w:r w:rsidRPr="006C24C8">
        <w:rPr>
          <w:rFonts w:ascii="Cambria" w:hAnsi="Cambria"/>
          <w:color w:val="000000" w:themeColor="text1"/>
          <w:szCs w:val="24"/>
          <w:vertAlign w:val="subscript"/>
          <w:lang w:val="ro-RO"/>
        </w:rPr>
        <w:t>2</w:t>
      </w:r>
      <w:r w:rsidRPr="006C24C8">
        <w:rPr>
          <w:rFonts w:ascii="Cambria" w:hAnsi="Cambria"/>
          <w:color w:val="000000" w:themeColor="text1"/>
          <w:szCs w:val="24"/>
          <w:lang w:val="ro-RO"/>
        </w:rPr>
        <w:t>/an.</w:t>
      </w:r>
    </w:p>
    <w:p w14:paraId="27FC656B" w14:textId="72A340AD" w:rsidR="00D22BA8" w:rsidRPr="006C24C8" w:rsidRDefault="00D22BA8" w:rsidP="002912EC">
      <w:pPr>
        <w:pStyle w:val="Heading3"/>
        <w:jc w:val="both"/>
        <w:rPr>
          <w:color w:val="000000" w:themeColor="text1"/>
          <w:lang w:val="ro-RO" w:eastAsia="ro-RO"/>
        </w:rPr>
      </w:pPr>
      <w:bookmarkStart w:id="1" w:name="_Toc515024564"/>
      <w:r w:rsidRPr="006C24C8">
        <w:rPr>
          <w:color w:val="000000" w:themeColor="text1"/>
          <w:lang w:val="ro-RO" w:eastAsia="ro-RO"/>
        </w:rPr>
        <w:t xml:space="preserve">C. indicatori financiari, socioeconomici, de impact, de rezultat/operare, </w:t>
      </w:r>
      <w:r w:rsidR="002912EC" w:rsidRPr="006C24C8">
        <w:rPr>
          <w:color w:val="000000" w:themeColor="text1"/>
          <w:lang w:val="ro-RO" w:eastAsia="ro-RO"/>
        </w:rPr>
        <w:t>stabiliți</w:t>
      </w:r>
      <w:r w:rsidRPr="006C24C8">
        <w:rPr>
          <w:color w:val="000000" w:themeColor="text1"/>
          <w:lang w:val="ro-RO" w:eastAsia="ro-RO"/>
        </w:rPr>
        <w:t xml:space="preserve"> în </w:t>
      </w:r>
      <w:r w:rsidR="002912EC" w:rsidRPr="006C24C8">
        <w:rPr>
          <w:color w:val="000000" w:themeColor="text1"/>
          <w:lang w:val="ro-RO" w:eastAsia="ro-RO"/>
        </w:rPr>
        <w:t>funcție</w:t>
      </w:r>
      <w:r w:rsidRPr="006C24C8">
        <w:rPr>
          <w:color w:val="000000" w:themeColor="text1"/>
          <w:lang w:val="ro-RO" w:eastAsia="ro-RO"/>
        </w:rPr>
        <w:t xml:space="preserve"> de specificul şi </w:t>
      </w:r>
      <w:r w:rsidR="002912EC" w:rsidRPr="006C24C8">
        <w:rPr>
          <w:color w:val="000000" w:themeColor="text1"/>
          <w:lang w:val="ro-RO" w:eastAsia="ro-RO"/>
        </w:rPr>
        <w:t>ținta</w:t>
      </w:r>
      <w:r w:rsidRPr="006C24C8">
        <w:rPr>
          <w:color w:val="000000" w:themeColor="text1"/>
          <w:lang w:val="ro-RO" w:eastAsia="ro-RO"/>
        </w:rPr>
        <w:t xml:space="preserve"> fiecărui obiectiv de </w:t>
      </w:r>
      <w:bookmarkEnd w:id="1"/>
      <w:r w:rsidR="002912EC" w:rsidRPr="006C24C8">
        <w:rPr>
          <w:color w:val="000000" w:themeColor="text1"/>
          <w:lang w:val="ro-RO" w:eastAsia="ro-RO"/>
        </w:rPr>
        <w:t>învestiții</w:t>
      </w:r>
    </w:p>
    <w:p w14:paraId="18CB791D" w14:textId="77777777" w:rsidR="00D22BA8" w:rsidRPr="006C24C8" w:rsidRDefault="00D22BA8" w:rsidP="00D22BA8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Cambria" w:hAnsi="Cambria"/>
          <w:szCs w:val="24"/>
          <w:lang w:val="ro-RO"/>
        </w:rPr>
      </w:pPr>
      <w:bookmarkStart w:id="2" w:name="_Toc515024565"/>
      <w:r w:rsidRPr="006C24C8">
        <w:rPr>
          <w:rFonts w:ascii="Cambria" w:hAnsi="Cambria"/>
          <w:szCs w:val="24"/>
          <w:lang w:val="ro-RO"/>
        </w:rPr>
        <w:t>Economia anuală de energie:</w:t>
      </w:r>
    </w:p>
    <w:p w14:paraId="50F20CB3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b/>
          <w:color w:val="000000" w:themeColor="text1"/>
          <w:szCs w:val="24"/>
        </w:rPr>
        <w:t>212.293</w:t>
      </w:r>
      <w:r w:rsidRPr="006C24C8">
        <w:rPr>
          <w:color w:val="000000" w:themeColor="text1"/>
          <w:szCs w:val="24"/>
        </w:rPr>
        <w:t xml:space="preserve"> </w:t>
      </w:r>
      <w:r w:rsidRPr="006C24C8">
        <w:rPr>
          <w:szCs w:val="24"/>
        </w:rPr>
        <w:t>kWh/an;</w:t>
      </w:r>
    </w:p>
    <w:p w14:paraId="70DE0D96" w14:textId="77777777" w:rsidR="00D22BA8" w:rsidRPr="006C24C8" w:rsidRDefault="00D22BA8" w:rsidP="00D22BA8">
      <w:pPr>
        <w:pStyle w:val="paragrafnivel2"/>
        <w:rPr>
          <w:szCs w:val="24"/>
        </w:rPr>
      </w:pPr>
      <w:r w:rsidRPr="006C24C8">
        <w:rPr>
          <w:b/>
          <w:color w:val="000000" w:themeColor="text1"/>
          <w:szCs w:val="24"/>
        </w:rPr>
        <w:t>17,39</w:t>
      </w:r>
      <w:r w:rsidRPr="006C24C8">
        <w:rPr>
          <w:color w:val="000000" w:themeColor="text1"/>
          <w:szCs w:val="24"/>
        </w:rPr>
        <w:t xml:space="preserve"> </w:t>
      </w:r>
      <w:r w:rsidRPr="006C24C8">
        <w:rPr>
          <w:szCs w:val="24"/>
        </w:rPr>
        <w:t>tep.</w:t>
      </w:r>
    </w:p>
    <w:p w14:paraId="11BC162D" w14:textId="3027841D" w:rsidR="00D22BA8" w:rsidRPr="006C24C8" w:rsidRDefault="00D22BA8" w:rsidP="002912EC">
      <w:pPr>
        <w:pStyle w:val="Heading3"/>
        <w:jc w:val="both"/>
        <w:rPr>
          <w:color w:val="000000" w:themeColor="text1"/>
          <w:lang w:val="ro-RO" w:eastAsia="ro-RO"/>
        </w:rPr>
      </w:pPr>
      <w:r w:rsidRPr="006C24C8">
        <w:rPr>
          <w:color w:val="000000" w:themeColor="text1"/>
          <w:lang w:val="ro-RO" w:eastAsia="ro-RO"/>
        </w:rPr>
        <w:t xml:space="preserve">D. durata estimată de </w:t>
      </w:r>
      <w:r w:rsidR="002912EC" w:rsidRPr="006C24C8">
        <w:rPr>
          <w:color w:val="000000" w:themeColor="text1"/>
          <w:lang w:val="ro-RO" w:eastAsia="ro-RO"/>
        </w:rPr>
        <w:t>execuție</w:t>
      </w:r>
      <w:r w:rsidRPr="006C24C8">
        <w:rPr>
          <w:color w:val="000000" w:themeColor="text1"/>
          <w:lang w:val="ro-RO" w:eastAsia="ro-RO"/>
        </w:rPr>
        <w:t xml:space="preserve"> a obiectivului de </w:t>
      </w:r>
      <w:r w:rsidR="002912EC" w:rsidRPr="006C24C8">
        <w:rPr>
          <w:color w:val="000000" w:themeColor="text1"/>
          <w:lang w:val="ro-RO" w:eastAsia="ro-RO"/>
        </w:rPr>
        <w:t>învestiții</w:t>
      </w:r>
      <w:r w:rsidRPr="006C24C8">
        <w:rPr>
          <w:color w:val="000000" w:themeColor="text1"/>
          <w:lang w:val="ro-RO" w:eastAsia="ro-RO"/>
        </w:rPr>
        <w:t>, exprimată în luni</w:t>
      </w:r>
      <w:bookmarkEnd w:id="2"/>
    </w:p>
    <w:p w14:paraId="77AB785D" w14:textId="77777777" w:rsidR="00D22BA8" w:rsidRPr="006C24C8" w:rsidRDefault="00D22BA8" w:rsidP="00D22BA8">
      <w:pPr>
        <w:pStyle w:val="ListParagraph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Pr="006C24C8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6C24C8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08357496" w14:textId="77777777" w:rsidR="00D22BA8" w:rsidRPr="006C24C8" w:rsidRDefault="00D22BA8" w:rsidP="00D22BA8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05C64815" w14:textId="77777777" w:rsidR="00D22BA8" w:rsidRPr="006C24C8" w:rsidRDefault="00D22BA8" w:rsidP="00D22BA8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6F667135" w14:textId="4F6D65CC" w:rsidR="00250050" w:rsidRPr="006C24C8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32E719E1" w14:textId="66D88D40" w:rsidR="00250050" w:rsidRPr="006C24C8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4812038D" w14:textId="77777777" w:rsidR="00250050" w:rsidRPr="006C24C8" w:rsidRDefault="00250050" w:rsidP="00250050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50050" w:rsidRPr="006C24C8" w14:paraId="0657D91F" w14:textId="77777777" w:rsidTr="00476965">
        <w:tc>
          <w:tcPr>
            <w:tcW w:w="3080" w:type="dxa"/>
            <w:shd w:val="clear" w:color="auto" w:fill="auto"/>
          </w:tcPr>
          <w:p w14:paraId="5C4350AF" w14:textId="77777777" w:rsidR="00250050" w:rsidRPr="006C24C8" w:rsidRDefault="00250050" w:rsidP="00476965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PRIMAR</w:t>
            </w:r>
          </w:p>
          <w:p w14:paraId="1D7B213E" w14:textId="77777777" w:rsidR="00250050" w:rsidRPr="006C24C8" w:rsidRDefault="00250050" w:rsidP="00476965">
            <w:pPr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Kereskényi Gábor</w:t>
            </w:r>
          </w:p>
          <w:p w14:paraId="147EA043" w14:textId="77777777" w:rsidR="008231E0" w:rsidRDefault="008231E0" w:rsidP="00476965">
            <w:pPr>
              <w:tabs>
                <w:tab w:val="left" w:pos="1197"/>
              </w:tabs>
              <w:rPr>
                <w:lang w:val="ro-RO"/>
              </w:rPr>
            </w:pPr>
          </w:p>
          <w:p w14:paraId="17B70EEF" w14:textId="087431A2" w:rsidR="00250050" w:rsidRPr="006C24C8" w:rsidRDefault="008231E0" w:rsidP="00476965">
            <w:pPr>
              <w:tabs>
                <w:tab w:val="left" w:pos="1197"/>
              </w:tabs>
              <w:rPr>
                <w:lang w:val="ro-RO"/>
              </w:rPr>
            </w:pPr>
            <w:r>
              <w:rPr>
                <w:lang w:val="ro-RO"/>
              </w:rPr>
              <w:t xml:space="preserve">        Președinte de ședință,</w:t>
            </w:r>
          </w:p>
        </w:tc>
        <w:tc>
          <w:tcPr>
            <w:tcW w:w="3081" w:type="dxa"/>
            <w:shd w:val="clear" w:color="auto" w:fill="auto"/>
          </w:tcPr>
          <w:p w14:paraId="64C49E45" w14:textId="77777777" w:rsidR="00250050" w:rsidRPr="006C24C8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Director executiv</w:t>
            </w:r>
          </w:p>
          <w:p w14:paraId="65F8A6CA" w14:textId="580D87EF" w:rsidR="00250050" w:rsidRPr="006C24C8" w:rsidRDefault="002912EC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250050" w:rsidRPr="006C24C8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250050" w:rsidRPr="006C24C8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F23788A" w14:textId="567330BF" w:rsidR="00250050" w:rsidRPr="006C24C8" w:rsidRDefault="0025005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C24C8">
              <w:rPr>
                <w:szCs w:val="24"/>
                <w:lang w:val="ro-RO"/>
              </w:rPr>
              <w:t>Șef birou</w:t>
            </w:r>
            <w:r w:rsidR="00781DBB">
              <w:rPr>
                <w:szCs w:val="24"/>
                <w:lang w:val="ro-RO"/>
              </w:rPr>
              <w:t xml:space="preserve"> C.T.S.L. </w:t>
            </w:r>
          </w:p>
          <w:p w14:paraId="1591172C" w14:textId="77777777" w:rsidR="00250050" w:rsidRDefault="002912EC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i</w:t>
            </w:r>
            <w:r w:rsidR="00250050" w:rsidRPr="006C24C8">
              <w:rPr>
                <w:szCs w:val="24"/>
                <w:lang w:val="ro-RO"/>
              </w:rPr>
              <w:t>ng. Criste Florin</w:t>
            </w:r>
          </w:p>
          <w:p w14:paraId="3A189A72" w14:textId="77777777" w:rsidR="008231E0" w:rsidRDefault="008231E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</w:p>
          <w:p w14:paraId="5ED401D9" w14:textId="7F99A42F" w:rsidR="008231E0" w:rsidRPr="006C24C8" w:rsidRDefault="008231E0" w:rsidP="00476965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   Secretar general,</w:t>
            </w:r>
          </w:p>
        </w:tc>
      </w:tr>
    </w:tbl>
    <w:p w14:paraId="65FCC50E" w14:textId="77777777" w:rsidR="00E72ABE" w:rsidRPr="006C24C8" w:rsidRDefault="00E72ABE" w:rsidP="00316179">
      <w:pPr>
        <w:spacing w:after="0"/>
        <w:jc w:val="center"/>
        <w:rPr>
          <w:sz w:val="28"/>
          <w:szCs w:val="28"/>
          <w:lang w:val="ro-RO"/>
        </w:rPr>
      </w:pPr>
    </w:p>
    <w:sectPr w:rsidR="00E72ABE" w:rsidRPr="006C24C8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7326" w14:textId="77777777" w:rsidR="00465368" w:rsidRDefault="00465368" w:rsidP="00FE6A48">
      <w:pPr>
        <w:spacing w:after="0" w:line="240" w:lineRule="auto"/>
      </w:pPr>
      <w:r>
        <w:separator/>
      </w:r>
    </w:p>
  </w:endnote>
  <w:endnote w:type="continuationSeparator" w:id="0">
    <w:p w14:paraId="35481EFD" w14:textId="77777777" w:rsidR="00465368" w:rsidRDefault="0046536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E8C1" w14:textId="77777777" w:rsidR="00465368" w:rsidRDefault="00465368" w:rsidP="00FE6A48">
      <w:pPr>
        <w:spacing w:after="0" w:line="240" w:lineRule="auto"/>
      </w:pPr>
      <w:r>
        <w:separator/>
      </w:r>
    </w:p>
  </w:footnote>
  <w:footnote w:type="continuationSeparator" w:id="0">
    <w:p w14:paraId="3834CE95" w14:textId="77777777" w:rsidR="00465368" w:rsidRDefault="0046536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B7598"/>
    <w:multiLevelType w:val="hybridMultilevel"/>
    <w:tmpl w:val="D5C0C2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A5B2FE2"/>
    <w:multiLevelType w:val="hybridMultilevel"/>
    <w:tmpl w:val="F0E8A7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4"/>
  </w:num>
  <w:num w:numId="10">
    <w:abstractNumId w:val="11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4151C"/>
    <w:rsid w:val="0005456F"/>
    <w:rsid w:val="00072F1D"/>
    <w:rsid w:val="00077DD5"/>
    <w:rsid w:val="000A522F"/>
    <w:rsid w:val="000B252F"/>
    <w:rsid w:val="000B34E3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50050"/>
    <w:rsid w:val="00273551"/>
    <w:rsid w:val="00277C15"/>
    <w:rsid w:val="002912EC"/>
    <w:rsid w:val="002B338E"/>
    <w:rsid w:val="002B4822"/>
    <w:rsid w:val="002F6664"/>
    <w:rsid w:val="00301A8B"/>
    <w:rsid w:val="00316179"/>
    <w:rsid w:val="00316CE0"/>
    <w:rsid w:val="00321CD9"/>
    <w:rsid w:val="0033088A"/>
    <w:rsid w:val="00340389"/>
    <w:rsid w:val="00345E7C"/>
    <w:rsid w:val="00347E5B"/>
    <w:rsid w:val="003745E4"/>
    <w:rsid w:val="00375958"/>
    <w:rsid w:val="00375E84"/>
    <w:rsid w:val="00395378"/>
    <w:rsid w:val="003E4F79"/>
    <w:rsid w:val="003E6708"/>
    <w:rsid w:val="003F69A7"/>
    <w:rsid w:val="00406CDC"/>
    <w:rsid w:val="00426D15"/>
    <w:rsid w:val="00435097"/>
    <w:rsid w:val="0046455D"/>
    <w:rsid w:val="00465368"/>
    <w:rsid w:val="004847F4"/>
    <w:rsid w:val="0049557F"/>
    <w:rsid w:val="004A7B7A"/>
    <w:rsid w:val="004D59FE"/>
    <w:rsid w:val="004D7505"/>
    <w:rsid w:val="004D764E"/>
    <w:rsid w:val="00500B18"/>
    <w:rsid w:val="00502A9B"/>
    <w:rsid w:val="005178EC"/>
    <w:rsid w:val="00521C04"/>
    <w:rsid w:val="00547674"/>
    <w:rsid w:val="00575348"/>
    <w:rsid w:val="005C3954"/>
    <w:rsid w:val="005C3B41"/>
    <w:rsid w:val="005D5A2C"/>
    <w:rsid w:val="005F2996"/>
    <w:rsid w:val="005F2B7C"/>
    <w:rsid w:val="00612F75"/>
    <w:rsid w:val="006226B0"/>
    <w:rsid w:val="00633B72"/>
    <w:rsid w:val="006507CF"/>
    <w:rsid w:val="006556FA"/>
    <w:rsid w:val="006765C0"/>
    <w:rsid w:val="006A6683"/>
    <w:rsid w:val="006B3E54"/>
    <w:rsid w:val="006C24C8"/>
    <w:rsid w:val="006D5E58"/>
    <w:rsid w:val="006E5795"/>
    <w:rsid w:val="006F4180"/>
    <w:rsid w:val="0070682A"/>
    <w:rsid w:val="007169AD"/>
    <w:rsid w:val="00725C13"/>
    <w:rsid w:val="007620A4"/>
    <w:rsid w:val="00781DBB"/>
    <w:rsid w:val="007C2834"/>
    <w:rsid w:val="007E0816"/>
    <w:rsid w:val="007E10CC"/>
    <w:rsid w:val="007E7E6B"/>
    <w:rsid w:val="007F0CB2"/>
    <w:rsid w:val="007F562E"/>
    <w:rsid w:val="0080046C"/>
    <w:rsid w:val="00804655"/>
    <w:rsid w:val="008200CA"/>
    <w:rsid w:val="008231E0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907FC3"/>
    <w:rsid w:val="00924286"/>
    <w:rsid w:val="00953B79"/>
    <w:rsid w:val="00955E2C"/>
    <w:rsid w:val="0096544C"/>
    <w:rsid w:val="009A02C8"/>
    <w:rsid w:val="009A1B02"/>
    <w:rsid w:val="009A5F09"/>
    <w:rsid w:val="009E4E39"/>
    <w:rsid w:val="009F1DE6"/>
    <w:rsid w:val="00A050C0"/>
    <w:rsid w:val="00A272A3"/>
    <w:rsid w:val="00A42E64"/>
    <w:rsid w:val="00A61A0B"/>
    <w:rsid w:val="00A62DB3"/>
    <w:rsid w:val="00A81B36"/>
    <w:rsid w:val="00A836DB"/>
    <w:rsid w:val="00AE7068"/>
    <w:rsid w:val="00B0201C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2BA8"/>
    <w:rsid w:val="00D273FC"/>
    <w:rsid w:val="00D63CEC"/>
    <w:rsid w:val="00D67CAE"/>
    <w:rsid w:val="00D71CCC"/>
    <w:rsid w:val="00DA70AB"/>
    <w:rsid w:val="00DA7D58"/>
    <w:rsid w:val="00DB31CB"/>
    <w:rsid w:val="00DD0CE2"/>
    <w:rsid w:val="00DD7755"/>
    <w:rsid w:val="00DE6F6A"/>
    <w:rsid w:val="00DF29A0"/>
    <w:rsid w:val="00DF4FE2"/>
    <w:rsid w:val="00E02B47"/>
    <w:rsid w:val="00E16BD0"/>
    <w:rsid w:val="00E227A3"/>
    <w:rsid w:val="00E24B29"/>
    <w:rsid w:val="00E25CA7"/>
    <w:rsid w:val="00E4282F"/>
    <w:rsid w:val="00E43EE8"/>
    <w:rsid w:val="00E72ABE"/>
    <w:rsid w:val="00E770F8"/>
    <w:rsid w:val="00E80BBB"/>
    <w:rsid w:val="00E85043"/>
    <w:rsid w:val="00E94E5E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7F74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00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00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250050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250050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250050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250050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4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20</cp:revision>
  <cp:lastPrinted>2022-01-20T08:00:00Z</cp:lastPrinted>
  <dcterms:created xsi:type="dcterms:W3CDTF">2022-01-06T09:44:00Z</dcterms:created>
  <dcterms:modified xsi:type="dcterms:W3CDTF">2022-02-02T13:03:00Z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