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97F2" w14:textId="18564239" w:rsidR="00B51BA8" w:rsidRPr="000C325B" w:rsidRDefault="00000000">
      <w:pPr>
        <w:spacing w:before="63"/>
        <w:ind w:left="7886"/>
        <w:rPr>
          <w:b/>
          <w:color w:val="080808"/>
          <w:w w:val="110"/>
          <w:sz w:val="23"/>
          <w:lang w:val="ro-RO"/>
        </w:rPr>
      </w:pPr>
      <w:r>
        <w:rPr>
          <w:b/>
          <w:color w:val="080808"/>
          <w:w w:val="110"/>
          <w:sz w:val="23"/>
          <w:lang w:val="ro-RO"/>
        </w:rPr>
        <w:pict w14:anchorId="3DEB183B">
          <v:line id="_x0000_s1031" style="position:absolute;left:0;text-align:left;z-index:-251658752;mso-position-horizontal-relative:page" from="38.45pt,76pt" to="796pt,76pt" strokeweight=".25461mm">
            <w10:wrap anchorx="page"/>
          </v:line>
        </w:pict>
      </w:r>
      <w:r w:rsidRPr="000C325B">
        <w:rPr>
          <w:b/>
          <w:color w:val="080808"/>
          <w:w w:val="110"/>
          <w:sz w:val="23"/>
          <w:lang w:val="ro-RO"/>
        </w:rPr>
        <w:t xml:space="preserve">Anexa nr. 1 la HCL Satu Mare nr. </w:t>
      </w:r>
      <w:r w:rsidR="00B47ED1" w:rsidRPr="000C325B">
        <w:rPr>
          <w:b/>
          <w:color w:val="080808"/>
          <w:w w:val="110"/>
          <w:sz w:val="23"/>
          <w:lang w:val="ro-RO"/>
        </w:rPr>
        <w:t>162</w:t>
      </w:r>
      <w:r w:rsidRPr="000C325B">
        <w:rPr>
          <w:b/>
          <w:color w:val="080808"/>
          <w:w w:val="110"/>
          <w:sz w:val="23"/>
          <w:lang w:val="ro-RO"/>
        </w:rPr>
        <w:t>/</w:t>
      </w:r>
      <w:r w:rsidR="00B47ED1" w:rsidRPr="000C325B">
        <w:rPr>
          <w:b/>
          <w:color w:val="080808"/>
          <w:w w:val="110"/>
          <w:sz w:val="23"/>
          <w:lang w:val="ro-RO"/>
        </w:rPr>
        <w:t>27.04.2023</w:t>
      </w:r>
    </w:p>
    <w:p w14:paraId="7E04FBF3" w14:textId="5DC14BF5" w:rsidR="00B51BA8" w:rsidRPr="000C325B" w:rsidRDefault="00000000">
      <w:pPr>
        <w:spacing w:after="19"/>
        <w:ind w:left="117"/>
        <w:jc w:val="right"/>
        <w:rPr>
          <w:b/>
          <w:color w:val="080808"/>
          <w:w w:val="110"/>
          <w:sz w:val="16"/>
          <w:lang w:val="ro-RO"/>
        </w:rPr>
      </w:pPr>
      <w:r w:rsidRPr="000C325B">
        <w:rPr>
          <w:b/>
          <w:color w:val="080808"/>
          <w:w w:val="110"/>
          <w:sz w:val="16"/>
          <w:lang w:val="ro-RO"/>
        </w:rPr>
        <w:t xml:space="preserve">privind contribuabilii ce </w:t>
      </w:r>
      <w:proofErr w:type="spellStart"/>
      <w:r w:rsidRPr="000C325B">
        <w:rPr>
          <w:b/>
          <w:color w:val="080808"/>
          <w:w w:val="110"/>
          <w:sz w:val="16"/>
          <w:lang w:val="ro-RO"/>
        </w:rPr>
        <w:t>deţin</w:t>
      </w:r>
      <w:proofErr w:type="spellEnd"/>
      <w:r w:rsidRPr="000C325B">
        <w:rPr>
          <w:b/>
          <w:color w:val="080808"/>
          <w:w w:val="110"/>
          <w:sz w:val="16"/>
          <w:lang w:val="ro-RO"/>
        </w:rPr>
        <w:t xml:space="preserve"> imobile care ies de sub </w:t>
      </w:r>
      <w:proofErr w:type="spellStart"/>
      <w:r w:rsidRPr="000C325B">
        <w:rPr>
          <w:b/>
          <w:color w:val="1A1A1A"/>
          <w:w w:val="110"/>
          <w:sz w:val="16"/>
          <w:lang w:val="ro-RO"/>
        </w:rPr>
        <w:t>incidenţa</w:t>
      </w:r>
      <w:proofErr w:type="spellEnd"/>
      <w:r w:rsidRPr="000C325B">
        <w:rPr>
          <w:b/>
          <w:color w:val="1A1A1A"/>
          <w:w w:val="110"/>
          <w:sz w:val="16"/>
          <w:lang w:val="ro-RO"/>
        </w:rPr>
        <w:t xml:space="preserve"> </w:t>
      </w:r>
      <w:r w:rsidRPr="000C325B">
        <w:rPr>
          <w:b/>
          <w:color w:val="080808"/>
          <w:w w:val="110"/>
          <w:sz w:val="16"/>
          <w:lang w:val="ro-RO"/>
        </w:rPr>
        <w:t>prevederilor art. 489 alin. (5) - (8) din Legea nr. 227/2015</w:t>
      </w:r>
    </w:p>
    <w:p w14:paraId="5B8BD217" w14:textId="77777777" w:rsidR="00B51BA8" w:rsidRPr="000C325B" w:rsidRDefault="00B51BA8">
      <w:pPr>
        <w:spacing w:after="19"/>
        <w:ind w:left="117"/>
        <w:jc w:val="right"/>
        <w:rPr>
          <w:b/>
          <w:sz w:val="16"/>
          <w:lang w:val="ro-RO"/>
        </w:rPr>
      </w:pPr>
    </w:p>
    <w:p w14:paraId="2042A16D" w14:textId="00D50769" w:rsidR="00B51BA8" w:rsidRPr="000C325B" w:rsidRDefault="00B51BA8">
      <w:pPr>
        <w:pStyle w:val="BodyText"/>
        <w:spacing w:line="20" w:lineRule="exact"/>
        <w:ind w:left="99"/>
        <w:rPr>
          <w:sz w:val="2"/>
          <w:lang w:val="ro-RO"/>
        </w:rPr>
      </w:pPr>
    </w:p>
    <w:p w14:paraId="373787B9" w14:textId="078A009E" w:rsidR="00B51BA8" w:rsidRPr="000C325B" w:rsidRDefault="00B51BA8">
      <w:pPr>
        <w:pStyle w:val="BodyText"/>
        <w:spacing w:before="9"/>
        <w:rPr>
          <w:b/>
          <w:sz w:val="8"/>
          <w:lang w:val="ro-RO"/>
        </w:rPr>
      </w:pPr>
    </w:p>
    <w:p w14:paraId="685E95BA" w14:textId="77777777" w:rsidR="00B51BA8" w:rsidRPr="000C325B" w:rsidRDefault="00000000">
      <w:pPr>
        <w:pStyle w:val="BodyText"/>
        <w:spacing w:line="345" w:lineRule="auto"/>
        <w:ind w:left="180" w:right="745"/>
        <w:rPr>
          <w:lang w:val="ro-RO"/>
        </w:rPr>
      </w:pPr>
      <w:r w:rsidRPr="000C325B">
        <w:rPr>
          <w:b/>
          <w:color w:val="080808"/>
          <w:w w:val="110"/>
          <w:lang w:val="ro-RO"/>
        </w:rPr>
        <w:t xml:space="preserve">Scoaterea de sub incidenta prevederilor HCL465/2022 </w:t>
      </w:r>
      <w:r w:rsidRPr="000C325B">
        <w:rPr>
          <w:color w:val="1A1A1A"/>
          <w:w w:val="110"/>
          <w:lang w:val="ro-RO"/>
        </w:rPr>
        <w:t xml:space="preserve">pentru aplicarea </w:t>
      </w:r>
      <w:r w:rsidRPr="000C325B">
        <w:rPr>
          <w:color w:val="080808"/>
          <w:w w:val="110"/>
          <w:lang w:val="ro-RO"/>
        </w:rPr>
        <w:t xml:space="preserve">prevederilor </w:t>
      </w:r>
      <w:r w:rsidRPr="000C325B">
        <w:rPr>
          <w:color w:val="1A1A1A"/>
          <w:w w:val="110"/>
          <w:lang w:val="ro-RO"/>
        </w:rPr>
        <w:t>art. 489 alin</w:t>
      </w:r>
      <w:r w:rsidRPr="000C325B">
        <w:rPr>
          <w:color w:val="444444"/>
          <w:w w:val="110"/>
          <w:lang w:val="ro-RO"/>
        </w:rPr>
        <w:t xml:space="preserve">. </w:t>
      </w:r>
      <w:r w:rsidRPr="000C325B">
        <w:rPr>
          <w:color w:val="1A1A1A"/>
          <w:w w:val="110"/>
          <w:lang w:val="ro-RO"/>
        </w:rPr>
        <w:t xml:space="preserve">(5)-(8) din Legea </w:t>
      </w:r>
      <w:r w:rsidRPr="000C325B">
        <w:rPr>
          <w:color w:val="080808"/>
          <w:w w:val="110"/>
          <w:lang w:val="ro-RO"/>
        </w:rPr>
        <w:t xml:space="preserve">nr.227/2015 </w:t>
      </w:r>
      <w:r w:rsidRPr="000C325B">
        <w:rPr>
          <w:color w:val="1A1A1A"/>
          <w:w w:val="110"/>
          <w:lang w:val="ro-RO"/>
        </w:rPr>
        <w:t xml:space="preserve">privind Codul </w:t>
      </w:r>
      <w:r w:rsidRPr="000C325B">
        <w:rPr>
          <w:color w:val="080808"/>
          <w:w w:val="110"/>
          <w:lang w:val="ro-RO"/>
        </w:rPr>
        <w:t xml:space="preserve">Fiscal </w:t>
      </w:r>
      <w:r w:rsidRPr="000C325B">
        <w:rPr>
          <w:color w:val="1A1A1A"/>
          <w:w w:val="110"/>
          <w:lang w:val="ro-RO"/>
        </w:rPr>
        <w:t xml:space="preserve">si pct. </w:t>
      </w:r>
      <w:r w:rsidRPr="000C325B">
        <w:rPr>
          <w:color w:val="080808"/>
          <w:w w:val="110"/>
          <w:lang w:val="ro-RO"/>
        </w:rPr>
        <w:t xml:space="preserve">168 </w:t>
      </w:r>
      <w:r w:rsidRPr="000C325B">
        <w:rPr>
          <w:color w:val="1A1A1A"/>
          <w:w w:val="110"/>
          <w:lang w:val="ro-RO"/>
        </w:rPr>
        <w:t xml:space="preserve">din </w:t>
      </w:r>
      <w:r w:rsidRPr="000C325B">
        <w:rPr>
          <w:color w:val="080808"/>
          <w:w w:val="110"/>
          <w:lang w:val="ro-RO"/>
        </w:rPr>
        <w:t xml:space="preserve">HG nr.1/2016 pentru </w:t>
      </w:r>
      <w:r w:rsidRPr="000C325B">
        <w:rPr>
          <w:color w:val="1A1A1A"/>
          <w:w w:val="110"/>
          <w:lang w:val="ro-RO"/>
        </w:rPr>
        <w:t xml:space="preserve">aprobarea </w:t>
      </w:r>
      <w:r w:rsidRPr="000C325B">
        <w:rPr>
          <w:color w:val="080808"/>
          <w:w w:val="110"/>
          <w:lang w:val="ro-RO"/>
        </w:rPr>
        <w:t xml:space="preserve">Normelor metodologice </w:t>
      </w:r>
      <w:r w:rsidRPr="000C325B">
        <w:rPr>
          <w:color w:val="1A1A1A"/>
          <w:w w:val="110"/>
          <w:lang w:val="ro-RO"/>
        </w:rPr>
        <w:t xml:space="preserve">de </w:t>
      </w:r>
      <w:r w:rsidRPr="000C325B">
        <w:rPr>
          <w:color w:val="080808"/>
          <w:w w:val="110"/>
          <w:lang w:val="ro-RO"/>
        </w:rPr>
        <w:t xml:space="preserve">aplicare a Legii nr. </w:t>
      </w:r>
      <w:r w:rsidRPr="000C325B">
        <w:rPr>
          <w:color w:val="1A1A1A"/>
          <w:w w:val="110"/>
          <w:lang w:val="ro-RO"/>
        </w:rPr>
        <w:t xml:space="preserve">227/2015 </w:t>
      </w:r>
      <w:r w:rsidRPr="000C325B">
        <w:rPr>
          <w:color w:val="080808"/>
          <w:w w:val="110"/>
          <w:lang w:val="ro-RO"/>
        </w:rPr>
        <w:t xml:space="preserve">privind </w:t>
      </w:r>
      <w:r w:rsidRPr="000C325B">
        <w:rPr>
          <w:color w:val="1A1A1A"/>
          <w:w w:val="110"/>
          <w:lang w:val="ro-RO"/>
        </w:rPr>
        <w:t xml:space="preserve">Codul </w:t>
      </w:r>
      <w:r w:rsidRPr="000C325B">
        <w:rPr>
          <w:color w:val="080808"/>
          <w:w w:val="110"/>
          <w:lang w:val="ro-RO"/>
        </w:rPr>
        <w:t>Fiscal,</w:t>
      </w:r>
    </w:p>
    <w:p w14:paraId="0FA2F264" w14:textId="77777777" w:rsidR="00B51BA8" w:rsidRPr="000C325B" w:rsidRDefault="00B51BA8">
      <w:pPr>
        <w:pStyle w:val="BodyText"/>
        <w:spacing w:before="3"/>
        <w:rPr>
          <w:sz w:val="10"/>
          <w:lang w:val="ro-RO"/>
        </w:rPr>
      </w:pPr>
    </w:p>
    <w:tbl>
      <w:tblPr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8"/>
        <w:gridCol w:w="999"/>
        <w:gridCol w:w="3571"/>
        <w:gridCol w:w="1559"/>
        <w:gridCol w:w="2177"/>
        <w:gridCol w:w="1038"/>
        <w:gridCol w:w="1038"/>
        <w:gridCol w:w="918"/>
        <w:gridCol w:w="1066"/>
      </w:tblGrid>
      <w:tr w:rsidR="00B51BA8" w:rsidRPr="000C325B" w14:paraId="3EF57E03" w14:textId="38B95385">
        <w:trPr>
          <w:trHeight w:val="273"/>
        </w:trPr>
        <w:tc>
          <w:tcPr>
            <w:tcW w:w="538" w:type="dxa"/>
            <w:vMerge w:val="restart"/>
          </w:tcPr>
          <w:p w14:paraId="7939966E" w14:textId="77777777" w:rsidR="00B51BA8" w:rsidRPr="000C325B" w:rsidRDefault="00000000">
            <w:pPr>
              <w:pStyle w:val="TableParagraph"/>
              <w:spacing w:before="7" w:line="264" w:lineRule="exact"/>
              <w:ind w:left="141" w:right="88" w:hanging="15"/>
              <w:jc w:val="left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15"/>
                <w:sz w:val="16"/>
                <w:lang w:val="ro-RO"/>
              </w:rPr>
              <w:t xml:space="preserve">Nr. </w:t>
            </w:r>
            <w:r w:rsidRPr="000C325B">
              <w:rPr>
                <w:b/>
                <w:color w:val="080808"/>
                <w:w w:val="110"/>
                <w:sz w:val="16"/>
                <w:lang w:val="ro-RO"/>
              </w:rPr>
              <w:t>crt.</w:t>
            </w:r>
          </w:p>
        </w:tc>
        <w:tc>
          <w:tcPr>
            <w:tcW w:w="3267" w:type="dxa"/>
            <w:gridSpan w:val="2"/>
          </w:tcPr>
          <w:p w14:paraId="314CEB54" w14:textId="77777777" w:rsidR="00B51BA8" w:rsidRPr="000C325B" w:rsidRDefault="00000000">
            <w:pPr>
              <w:pStyle w:val="TableParagraph"/>
              <w:ind w:left="788"/>
              <w:jc w:val="left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ADRESA IMOBILULUI</w:t>
            </w:r>
          </w:p>
        </w:tc>
        <w:tc>
          <w:tcPr>
            <w:tcW w:w="3571" w:type="dxa"/>
            <w:vMerge w:val="restart"/>
          </w:tcPr>
          <w:p w14:paraId="6EECC89C" w14:textId="77777777" w:rsidR="00B51BA8" w:rsidRPr="000C325B" w:rsidRDefault="00000000">
            <w:pPr>
              <w:pStyle w:val="TableParagraph"/>
              <w:spacing w:before="44"/>
              <w:ind w:left="990" w:right="967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10"/>
                <w:sz w:val="16"/>
                <w:lang w:val="ro-RO"/>
              </w:rPr>
              <w:t>Proprietar</w:t>
            </w:r>
          </w:p>
        </w:tc>
        <w:tc>
          <w:tcPr>
            <w:tcW w:w="1559" w:type="dxa"/>
          </w:tcPr>
          <w:p w14:paraId="0CD8F360" w14:textId="77777777" w:rsidR="00B51BA8" w:rsidRPr="000C325B" w:rsidRDefault="00000000">
            <w:pPr>
              <w:pStyle w:val="TableParagraph"/>
              <w:spacing w:before="44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Localitatea</w:t>
            </w:r>
          </w:p>
        </w:tc>
        <w:tc>
          <w:tcPr>
            <w:tcW w:w="2177" w:type="dxa"/>
          </w:tcPr>
          <w:p w14:paraId="79FD5029" w14:textId="77777777" w:rsidR="00B51BA8" w:rsidRPr="000C325B" w:rsidRDefault="00000000">
            <w:pPr>
              <w:pStyle w:val="TableParagraph"/>
              <w:ind w:left="354" w:right="281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Strada</w:t>
            </w:r>
          </w:p>
        </w:tc>
        <w:tc>
          <w:tcPr>
            <w:tcW w:w="1038" w:type="dxa"/>
            <w:vMerge w:val="restart"/>
          </w:tcPr>
          <w:p w14:paraId="05F92E22" w14:textId="77777777" w:rsidR="00B51BA8" w:rsidRPr="000C325B" w:rsidRDefault="00000000">
            <w:pPr>
              <w:pStyle w:val="TableParagraph"/>
              <w:ind w:left="385" w:right="363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Nr.</w:t>
            </w:r>
          </w:p>
        </w:tc>
        <w:tc>
          <w:tcPr>
            <w:tcW w:w="1038" w:type="dxa"/>
            <w:vMerge w:val="restart"/>
          </w:tcPr>
          <w:p w14:paraId="436B7DEE" w14:textId="77777777" w:rsidR="00B51BA8" w:rsidRPr="000C325B" w:rsidRDefault="00000000">
            <w:pPr>
              <w:pStyle w:val="TableParagraph"/>
              <w:spacing w:before="54"/>
              <w:ind w:left="327"/>
              <w:jc w:val="left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sz w:val="16"/>
                <w:lang w:val="ro-RO"/>
              </w:rPr>
              <w:t>Bloc.</w:t>
            </w:r>
          </w:p>
        </w:tc>
        <w:tc>
          <w:tcPr>
            <w:tcW w:w="918" w:type="dxa"/>
            <w:vMerge w:val="restart"/>
          </w:tcPr>
          <w:p w14:paraId="0DCAFA6A" w14:textId="77777777" w:rsidR="00B51BA8" w:rsidRPr="000C325B" w:rsidRDefault="00000000">
            <w:pPr>
              <w:pStyle w:val="TableParagraph"/>
              <w:spacing w:before="54"/>
              <w:ind w:left="335"/>
              <w:jc w:val="left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Ap.</w:t>
            </w:r>
          </w:p>
        </w:tc>
        <w:tc>
          <w:tcPr>
            <w:tcW w:w="1066" w:type="dxa"/>
            <w:vMerge w:val="restart"/>
          </w:tcPr>
          <w:p w14:paraId="2BD7C421" w14:textId="78512F3E" w:rsidR="00B51BA8" w:rsidRPr="000C325B" w:rsidRDefault="00000000">
            <w:pPr>
              <w:pStyle w:val="TableParagraph"/>
              <w:spacing w:before="54"/>
              <w:rPr>
                <w:b/>
                <w:color w:val="080808"/>
                <w:w w:val="105"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Nr.</w:t>
            </w:r>
          </w:p>
          <w:p w14:paraId="59E3195F" w14:textId="342BCB7E" w:rsidR="00B51BA8" w:rsidRPr="000C325B" w:rsidRDefault="00000000">
            <w:pPr>
              <w:pStyle w:val="TableParagraph"/>
              <w:spacing w:before="54"/>
              <w:rPr>
                <w:b/>
                <w:color w:val="080808"/>
                <w:w w:val="105"/>
                <w:sz w:val="16"/>
                <w:lang w:val="ro-RO"/>
              </w:rPr>
            </w:pPr>
            <w:proofErr w:type="spellStart"/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Pozitie</w:t>
            </w:r>
            <w:proofErr w:type="spellEnd"/>
            <w:r w:rsidRPr="000C325B">
              <w:rPr>
                <w:b/>
                <w:color w:val="080808"/>
                <w:w w:val="105"/>
                <w:sz w:val="16"/>
                <w:lang w:val="ro-RO"/>
              </w:rPr>
              <w:t xml:space="preserve">  HCL SM</w:t>
            </w:r>
          </w:p>
          <w:p w14:paraId="38C5EBA2" w14:textId="23CBBB74" w:rsidR="00B51BA8" w:rsidRPr="000C325B" w:rsidRDefault="00000000">
            <w:pPr>
              <w:pStyle w:val="TableParagraph"/>
              <w:spacing w:before="54"/>
              <w:rPr>
                <w:b/>
                <w:color w:val="080808"/>
                <w:w w:val="105"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465/2022</w:t>
            </w:r>
          </w:p>
        </w:tc>
      </w:tr>
      <w:tr w:rsidR="00B51BA8" w:rsidRPr="000C325B" w14:paraId="5947E171" w14:textId="1BED8949">
        <w:trPr>
          <w:trHeight w:val="273"/>
        </w:trPr>
        <w:tc>
          <w:tcPr>
            <w:tcW w:w="538" w:type="dxa"/>
            <w:vMerge/>
            <w:tcBorders>
              <w:top w:val="nil"/>
            </w:tcBorders>
          </w:tcPr>
          <w:p w14:paraId="6AF01A32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2268" w:type="dxa"/>
          </w:tcPr>
          <w:p w14:paraId="1829D997" w14:textId="77777777" w:rsidR="00B51BA8" w:rsidRPr="000C325B" w:rsidRDefault="00000000">
            <w:pPr>
              <w:pStyle w:val="TableParagraph"/>
              <w:spacing w:before="54"/>
              <w:ind w:left="858" w:right="831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Strada</w:t>
            </w:r>
          </w:p>
        </w:tc>
        <w:tc>
          <w:tcPr>
            <w:tcW w:w="999" w:type="dxa"/>
          </w:tcPr>
          <w:p w14:paraId="188D3F37" w14:textId="77777777" w:rsidR="00B51BA8" w:rsidRPr="000C325B" w:rsidRDefault="00000000">
            <w:pPr>
              <w:pStyle w:val="TableParagraph"/>
              <w:ind w:left="356" w:right="326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Nr.</w:t>
            </w:r>
          </w:p>
        </w:tc>
        <w:tc>
          <w:tcPr>
            <w:tcW w:w="3571" w:type="dxa"/>
            <w:vMerge/>
            <w:tcBorders>
              <w:top w:val="nil"/>
            </w:tcBorders>
          </w:tcPr>
          <w:p w14:paraId="7DBECDC9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559" w:type="dxa"/>
          </w:tcPr>
          <w:p w14:paraId="1BE989B0" w14:textId="77777777" w:rsidR="00B51BA8" w:rsidRPr="000C325B" w:rsidRDefault="00000000">
            <w:pPr>
              <w:pStyle w:val="TableParagraph"/>
              <w:ind w:left="2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de domiciliu</w:t>
            </w:r>
          </w:p>
        </w:tc>
        <w:tc>
          <w:tcPr>
            <w:tcW w:w="2177" w:type="dxa"/>
          </w:tcPr>
          <w:p w14:paraId="6953ED8A" w14:textId="77777777" w:rsidR="00B51BA8" w:rsidRPr="000C325B" w:rsidRDefault="00000000">
            <w:pPr>
              <w:pStyle w:val="TableParagraph"/>
              <w:ind w:left="354" w:right="281"/>
              <w:rPr>
                <w:b/>
                <w:sz w:val="16"/>
                <w:lang w:val="ro-RO"/>
              </w:rPr>
            </w:pPr>
            <w:r w:rsidRPr="000C325B">
              <w:rPr>
                <w:b/>
                <w:color w:val="080808"/>
                <w:w w:val="105"/>
                <w:sz w:val="16"/>
                <w:lang w:val="ro-RO"/>
              </w:rPr>
              <w:t>de domiciliu</w:t>
            </w:r>
          </w:p>
        </w:tc>
        <w:tc>
          <w:tcPr>
            <w:tcW w:w="1038" w:type="dxa"/>
            <w:vMerge/>
            <w:tcBorders>
              <w:top w:val="nil"/>
            </w:tcBorders>
          </w:tcPr>
          <w:p w14:paraId="53CCC7B5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14:paraId="72165F44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14:paraId="5F519ED9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1066" w:type="dxa"/>
            <w:vMerge/>
          </w:tcPr>
          <w:p w14:paraId="02B86A6C" w14:textId="77777777" w:rsidR="00B51BA8" w:rsidRPr="000C325B" w:rsidRDefault="00B51BA8">
            <w:pPr>
              <w:rPr>
                <w:sz w:val="2"/>
                <w:szCs w:val="2"/>
                <w:lang w:val="ro-RO"/>
              </w:rPr>
            </w:pPr>
          </w:p>
        </w:tc>
      </w:tr>
      <w:tr w:rsidR="00B51BA8" w:rsidRPr="000C325B" w14:paraId="21E7BBBE" w14:textId="77D76DD9">
        <w:trPr>
          <w:trHeight w:val="235"/>
        </w:trPr>
        <w:tc>
          <w:tcPr>
            <w:tcW w:w="538" w:type="dxa"/>
          </w:tcPr>
          <w:p w14:paraId="35A09A7F" w14:textId="77777777" w:rsidR="00B51BA8" w:rsidRPr="000C325B" w:rsidRDefault="00000000">
            <w:pPr>
              <w:pStyle w:val="TableParagraph"/>
              <w:spacing w:before="36" w:line="179" w:lineRule="exact"/>
              <w:ind w:left="64"/>
              <w:rPr>
                <w:rFonts w:ascii="Times New Roman"/>
                <w:b/>
                <w:sz w:val="17"/>
                <w:lang w:val="ro-RO"/>
              </w:rPr>
            </w:pPr>
            <w:r w:rsidRPr="000C325B">
              <w:rPr>
                <w:rFonts w:ascii="Times New Roman"/>
                <w:b/>
                <w:color w:val="080808"/>
                <w:w w:val="107"/>
                <w:sz w:val="17"/>
                <w:lang w:val="ro-RO"/>
              </w:rPr>
              <w:t>1</w:t>
            </w:r>
          </w:p>
        </w:tc>
        <w:tc>
          <w:tcPr>
            <w:tcW w:w="2268" w:type="dxa"/>
          </w:tcPr>
          <w:p w14:paraId="6D53C9EF" w14:textId="154977A1" w:rsidR="00B51BA8" w:rsidRPr="000C325B" w:rsidRDefault="00341AB1">
            <w:pPr>
              <w:pStyle w:val="TableParagraph"/>
              <w:spacing w:before="35" w:line="180" w:lineRule="exact"/>
              <w:ind w:right="460"/>
              <w:jc w:val="right"/>
              <w:rPr>
                <w:sz w:val="16"/>
                <w:lang w:val="ro-RO"/>
              </w:rPr>
            </w:pPr>
            <w:r w:rsidRPr="000C325B">
              <w:rPr>
                <w:color w:val="1A1A1A"/>
                <w:sz w:val="16"/>
                <w:lang w:val="ro-RO"/>
              </w:rPr>
              <w:t>Iuliu Maniu</w:t>
            </w:r>
          </w:p>
        </w:tc>
        <w:tc>
          <w:tcPr>
            <w:tcW w:w="999" w:type="dxa"/>
          </w:tcPr>
          <w:p w14:paraId="4276C0D2" w14:textId="2C56C0EE" w:rsidR="00B51BA8" w:rsidRPr="000C325B" w:rsidRDefault="00341AB1">
            <w:pPr>
              <w:pStyle w:val="TableParagraph"/>
              <w:spacing w:before="53"/>
              <w:ind w:left="56"/>
              <w:rPr>
                <w:sz w:val="14"/>
                <w:lang w:val="ro-RO"/>
              </w:rPr>
            </w:pPr>
            <w:r w:rsidRPr="000C325B">
              <w:rPr>
                <w:color w:val="1A1A1A"/>
                <w:w w:val="101"/>
                <w:sz w:val="14"/>
                <w:lang w:val="ro-RO"/>
              </w:rPr>
              <w:t>1</w:t>
            </w:r>
          </w:p>
        </w:tc>
        <w:tc>
          <w:tcPr>
            <w:tcW w:w="3571" w:type="dxa"/>
          </w:tcPr>
          <w:p w14:paraId="60D020D0" w14:textId="3DDC79FB" w:rsidR="00B51BA8" w:rsidRPr="000C325B" w:rsidRDefault="00B51BA8">
            <w:pPr>
              <w:pStyle w:val="TableParagraph"/>
              <w:spacing w:before="20"/>
              <w:ind w:left="1008" w:right="967"/>
              <w:rPr>
                <w:sz w:val="16"/>
                <w:lang w:val="ro-RO"/>
              </w:rPr>
            </w:pPr>
          </w:p>
        </w:tc>
        <w:tc>
          <w:tcPr>
            <w:tcW w:w="1559" w:type="dxa"/>
          </w:tcPr>
          <w:p w14:paraId="2B87B450" w14:textId="77777777" w:rsidR="00B51BA8" w:rsidRPr="000C325B" w:rsidRDefault="00000000">
            <w:pPr>
              <w:pStyle w:val="TableParagraph"/>
              <w:spacing w:before="35" w:line="180" w:lineRule="exact"/>
              <w:rPr>
                <w:sz w:val="16"/>
                <w:lang w:val="ro-RO"/>
              </w:rPr>
            </w:pPr>
            <w:r w:rsidRPr="000C325B">
              <w:rPr>
                <w:color w:val="1A1A1A"/>
                <w:w w:val="115"/>
                <w:sz w:val="16"/>
                <w:lang w:val="ro-RO"/>
              </w:rPr>
              <w:t>Satu Mare</w:t>
            </w:r>
          </w:p>
        </w:tc>
        <w:tc>
          <w:tcPr>
            <w:tcW w:w="2177" w:type="dxa"/>
          </w:tcPr>
          <w:p w14:paraId="101D385B" w14:textId="15A4E44D" w:rsidR="00B51BA8" w:rsidRPr="000C325B" w:rsidRDefault="00341AB1">
            <w:pPr>
              <w:pStyle w:val="TableParagraph"/>
              <w:spacing w:before="20"/>
              <w:ind w:left="354" w:right="281"/>
              <w:rPr>
                <w:sz w:val="16"/>
                <w:lang w:val="ro-RO"/>
              </w:rPr>
            </w:pPr>
            <w:r w:rsidRPr="000C325B">
              <w:rPr>
                <w:sz w:val="16"/>
                <w:lang w:val="ro-RO"/>
              </w:rPr>
              <w:t>IULIU MANIU</w:t>
            </w:r>
          </w:p>
        </w:tc>
        <w:tc>
          <w:tcPr>
            <w:tcW w:w="1038" w:type="dxa"/>
          </w:tcPr>
          <w:p w14:paraId="4C07C5FD" w14:textId="71D71125" w:rsidR="00B51BA8" w:rsidRPr="000C325B" w:rsidRDefault="00341AB1">
            <w:pPr>
              <w:pStyle w:val="TableParagraph"/>
              <w:spacing w:before="34"/>
              <w:ind w:left="498"/>
              <w:jc w:val="left"/>
              <w:rPr>
                <w:sz w:val="15"/>
                <w:lang w:val="ro-RO"/>
              </w:rPr>
            </w:pPr>
            <w:r w:rsidRPr="000C325B">
              <w:rPr>
                <w:sz w:val="15"/>
                <w:lang w:val="ro-RO"/>
              </w:rPr>
              <w:t>1</w:t>
            </w:r>
          </w:p>
        </w:tc>
        <w:tc>
          <w:tcPr>
            <w:tcW w:w="1038" w:type="dxa"/>
          </w:tcPr>
          <w:p w14:paraId="614346F6" w14:textId="77777777" w:rsidR="00B51BA8" w:rsidRPr="000C325B" w:rsidRDefault="00B51BA8">
            <w:pPr>
              <w:pStyle w:val="TableParagraph"/>
              <w:spacing w:before="0"/>
              <w:jc w:val="left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918" w:type="dxa"/>
          </w:tcPr>
          <w:p w14:paraId="6D063337" w14:textId="3A7A488C" w:rsidR="00B51BA8" w:rsidRPr="000C325B" w:rsidRDefault="00B51BA8">
            <w:pPr>
              <w:pStyle w:val="TableParagraph"/>
              <w:spacing w:before="21" w:line="194" w:lineRule="exact"/>
              <w:ind w:right="389"/>
              <w:jc w:val="right"/>
              <w:rPr>
                <w:rFonts w:ascii="Times New Roman"/>
                <w:sz w:val="17"/>
                <w:lang w:val="ro-RO"/>
              </w:rPr>
            </w:pPr>
          </w:p>
        </w:tc>
        <w:tc>
          <w:tcPr>
            <w:tcW w:w="1066" w:type="dxa"/>
          </w:tcPr>
          <w:p w14:paraId="6CCFB5F9" w14:textId="77777777" w:rsidR="00341AB1" w:rsidRPr="000C325B" w:rsidRDefault="00000000">
            <w:pPr>
              <w:pStyle w:val="TableParagraph"/>
              <w:spacing w:before="30" w:line="190" w:lineRule="exact"/>
              <w:rPr>
                <w:rFonts w:ascii="Times New Roman"/>
                <w:sz w:val="16"/>
                <w:lang w:val="ro-RO"/>
              </w:rPr>
            </w:pPr>
            <w:r w:rsidRPr="000C325B">
              <w:rPr>
                <w:rFonts w:ascii="Times New Roman"/>
                <w:sz w:val="16"/>
                <w:lang w:val="ro-RO"/>
              </w:rPr>
              <w:t xml:space="preserve">Anexa 1 </w:t>
            </w:r>
          </w:p>
          <w:p w14:paraId="60E1F653" w14:textId="17387AE7" w:rsidR="00B51BA8" w:rsidRPr="000C325B" w:rsidRDefault="00000000">
            <w:pPr>
              <w:pStyle w:val="TableParagraph"/>
              <w:spacing w:before="30" w:line="190" w:lineRule="exact"/>
              <w:rPr>
                <w:rFonts w:ascii="Times New Roman"/>
                <w:sz w:val="16"/>
                <w:lang w:val="ro-RO"/>
              </w:rPr>
            </w:pPr>
            <w:r w:rsidRPr="000C325B">
              <w:rPr>
                <w:rFonts w:ascii="Times New Roman"/>
                <w:sz w:val="16"/>
                <w:lang w:val="ro-RO"/>
              </w:rPr>
              <w:t xml:space="preserve">pagina </w:t>
            </w:r>
            <w:r w:rsidR="00341AB1" w:rsidRPr="000C325B">
              <w:rPr>
                <w:rFonts w:ascii="Times New Roman"/>
                <w:sz w:val="16"/>
                <w:lang w:val="ro-RO"/>
              </w:rPr>
              <w:t>4</w:t>
            </w:r>
            <w:r w:rsidRPr="000C325B">
              <w:rPr>
                <w:rFonts w:ascii="Times New Roman"/>
                <w:sz w:val="16"/>
                <w:lang w:val="ro-RO"/>
              </w:rPr>
              <w:t xml:space="preserve"> </w:t>
            </w:r>
          </w:p>
          <w:p w14:paraId="1E9E1C04" w14:textId="460EFD35" w:rsidR="00B51BA8" w:rsidRPr="000C325B" w:rsidRDefault="00341AB1">
            <w:pPr>
              <w:pStyle w:val="TableParagraph"/>
              <w:spacing w:before="21" w:line="194" w:lineRule="exact"/>
              <w:rPr>
                <w:rFonts w:ascii="Times New Roman"/>
                <w:color w:val="1A1A1A"/>
                <w:w w:val="106"/>
                <w:sz w:val="17"/>
                <w:lang w:val="ro-RO"/>
              </w:rPr>
            </w:pPr>
            <w:r w:rsidRPr="000C325B">
              <w:rPr>
                <w:rFonts w:ascii="Times New Roman"/>
                <w:sz w:val="16"/>
                <w:lang w:val="ro-RO"/>
              </w:rPr>
              <w:t>nr. crt. 4</w:t>
            </w:r>
          </w:p>
        </w:tc>
      </w:tr>
    </w:tbl>
    <w:p w14:paraId="2DD4A807" w14:textId="77777777" w:rsidR="00B51BA8" w:rsidRPr="000C325B" w:rsidRDefault="00B51BA8">
      <w:pPr>
        <w:pStyle w:val="BodyText"/>
        <w:rPr>
          <w:sz w:val="18"/>
          <w:lang w:val="ro-RO"/>
        </w:rPr>
      </w:pPr>
    </w:p>
    <w:p w14:paraId="523EE4CA" w14:textId="77777777" w:rsidR="00B51BA8" w:rsidRPr="000C325B" w:rsidRDefault="00B51BA8">
      <w:pPr>
        <w:pStyle w:val="BodyText"/>
        <w:rPr>
          <w:sz w:val="18"/>
          <w:lang w:val="ro-RO"/>
        </w:rPr>
      </w:pPr>
    </w:p>
    <w:p w14:paraId="51DC07D4" w14:textId="77777777" w:rsidR="00B51BA8" w:rsidRPr="000C325B" w:rsidRDefault="00B51BA8">
      <w:pPr>
        <w:pStyle w:val="BodyText"/>
        <w:rPr>
          <w:sz w:val="18"/>
          <w:lang w:val="ro-RO"/>
        </w:rPr>
      </w:pPr>
    </w:p>
    <w:p w14:paraId="01251FD2" w14:textId="77777777" w:rsidR="00B51BA8" w:rsidRPr="000C325B" w:rsidRDefault="00B51BA8">
      <w:pPr>
        <w:pStyle w:val="BodyText"/>
        <w:rPr>
          <w:sz w:val="18"/>
          <w:lang w:val="ro-RO"/>
        </w:rPr>
      </w:pPr>
    </w:p>
    <w:p w14:paraId="08425990" w14:textId="77777777" w:rsidR="00B51BA8" w:rsidRPr="000C325B" w:rsidRDefault="00B51BA8">
      <w:pPr>
        <w:pStyle w:val="BodyText"/>
        <w:rPr>
          <w:sz w:val="18"/>
          <w:lang w:val="ro-RO"/>
        </w:rPr>
      </w:pPr>
    </w:p>
    <w:p w14:paraId="7472AB79" w14:textId="77777777" w:rsidR="00B51BA8" w:rsidRPr="000C325B" w:rsidRDefault="00B51BA8">
      <w:pPr>
        <w:pStyle w:val="BodyText"/>
        <w:spacing w:before="10"/>
        <w:rPr>
          <w:sz w:val="26"/>
          <w:lang w:val="ro-RO"/>
        </w:rPr>
      </w:pPr>
    </w:p>
    <w:p w14:paraId="6E293535" w14:textId="024112DA" w:rsidR="00B51BA8" w:rsidRPr="000C325B" w:rsidRDefault="00000000">
      <w:pPr>
        <w:ind w:left="1267"/>
        <w:rPr>
          <w:b/>
          <w:color w:val="080808"/>
          <w:sz w:val="19"/>
          <w:lang w:val="ro-RO"/>
        </w:rPr>
      </w:pPr>
      <w:proofErr w:type="spellStart"/>
      <w:r w:rsidRPr="000C325B">
        <w:rPr>
          <w:b/>
          <w:color w:val="080808"/>
          <w:sz w:val="19"/>
          <w:lang w:val="ro-RO"/>
        </w:rPr>
        <w:t>Armos</w:t>
      </w:r>
      <w:proofErr w:type="spellEnd"/>
      <w:r w:rsidRPr="000C325B">
        <w:rPr>
          <w:b/>
          <w:color w:val="080808"/>
          <w:sz w:val="19"/>
          <w:lang w:val="ro-RO"/>
        </w:rPr>
        <w:t xml:space="preserve"> Attila</w:t>
      </w:r>
    </w:p>
    <w:p w14:paraId="0F55665F" w14:textId="77777777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23D94432" w14:textId="77777777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3D5FCA26" w14:textId="77777777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51E9ACF2" w14:textId="77777777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70A91CED" w14:textId="77777777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4656D7DE" w14:textId="0C9CA66B" w:rsidR="00E53812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  <w:r w:rsidRPr="000C325B">
        <w:rPr>
          <w:rFonts w:ascii="Times New Roman" w:hAnsi="Times New Roman" w:cs="Times New Roman"/>
          <w:bCs/>
          <w:sz w:val="18"/>
          <w:szCs w:val="18"/>
          <w:lang w:val="ro-RO"/>
        </w:rPr>
        <w:t>Avizat spre neschimbare,</w:t>
      </w:r>
    </w:p>
    <w:p w14:paraId="1C325A62" w14:textId="22C7A9EF" w:rsidR="00B47ED1" w:rsidRPr="000C325B" w:rsidRDefault="00E53812" w:rsidP="00E53812">
      <w:pPr>
        <w:ind w:left="1267"/>
        <w:jc w:val="center"/>
        <w:rPr>
          <w:rFonts w:ascii="Times New Roman" w:hAnsi="Times New Roman" w:cs="Times New Roman"/>
          <w:bCs/>
          <w:sz w:val="18"/>
          <w:szCs w:val="18"/>
          <w:lang w:val="ro-RO"/>
        </w:rPr>
      </w:pPr>
      <w:r w:rsidRPr="000C325B">
        <w:rPr>
          <w:rFonts w:ascii="Times New Roman" w:hAnsi="Times New Roman" w:cs="Times New Roman"/>
          <w:bCs/>
          <w:sz w:val="18"/>
          <w:szCs w:val="18"/>
          <w:lang w:val="ro-RO"/>
        </w:rPr>
        <w:t xml:space="preserve">Președinte de ședință, </w:t>
      </w:r>
      <w:r w:rsidRPr="000C325B">
        <w:rPr>
          <w:rFonts w:ascii="Times New Roman" w:hAnsi="Times New Roman" w:cs="Times New Roman"/>
          <w:bCs/>
          <w:sz w:val="18"/>
          <w:szCs w:val="18"/>
          <w:lang w:val="ro-RO"/>
        </w:rPr>
        <w:tab/>
      </w:r>
      <w:r w:rsidRPr="000C325B">
        <w:rPr>
          <w:rFonts w:ascii="Times New Roman" w:hAnsi="Times New Roman" w:cs="Times New Roman"/>
          <w:bCs/>
          <w:sz w:val="18"/>
          <w:szCs w:val="18"/>
          <w:lang w:val="ro-RO"/>
        </w:rPr>
        <w:tab/>
        <w:t>Secretar general</w:t>
      </w:r>
    </w:p>
    <w:sectPr w:rsidR="00B47ED1" w:rsidRPr="000C325B">
      <w:type w:val="continuous"/>
      <w:pgSz w:w="16900" w:h="11910" w:orient="landscape"/>
      <w:pgMar w:top="1040" w:right="8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BA8"/>
    <w:rsid w:val="000C325B"/>
    <w:rsid w:val="00341AB1"/>
    <w:rsid w:val="008A5B18"/>
    <w:rsid w:val="00B47ED1"/>
    <w:rsid w:val="00B51BA8"/>
    <w:rsid w:val="00E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CEDDCE1"/>
  <w15:docId w15:val="{25A597BF-304E-4A3B-A4D0-CFBC909F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Mariana Husar</cp:lastModifiedBy>
  <cp:revision>9</cp:revision>
  <dcterms:created xsi:type="dcterms:W3CDTF">2023-03-07T11:55:00Z</dcterms:created>
  <dcterms:modified xsi:type="dcterms:W3CDTF">2023-05-11T08:30:00Z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