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D5CC24C">
                <wp:simplePos x="0" y="0"/>
                <wp:positionH relativeFrom="margin">
                  <wp:posOffset>819150</wp:posOffset>
                </wp:positionH>
                <wp:positionV relativeFrom="paragraph">
                  <wp:posOffset>161290</wp:posOffset>
                </wp:positionV>
                <wp:extent cx="5523865" cy="93345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4.5pt;margin-top:12.7pt;width:434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1AED8A11">
            <wp:extent cx="695325" cy="1009015"/>
            <wp:effectExtent l="0" t="0" r="952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" cy="11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0D22E230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AEE6830" w:rsidR="00575348" w:rsidRPr="001C18FF" w:rsidRDefault="006226B0" w:rsidP="0016327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D06934">
        <w:rPr>
          <w:b/>
          <w:sz w:val="28"/>
          <w:szCs w:val="28"/>
          <w:lang w:val="ro-RO"/>
        </w:rPr>
        <w:t>161/23.05.2024</w:t>
      </w:r>
    </w:p>
    <w:p w14:paraId="032C42C6" w14:textId="71BE557B" w:rsidR="00E80BBB" w:rsidRPr="00332933" w:rsidRDefault="006D5E58" w:rsidP="0016327B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C21784" w:rsidRPr="00C21784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 w:rsidP="0016327B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60BD2251" w:rsidR="00575348" w:rsidRPr="001C18FF" w:rsidRDefault="006226B0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23B91537" w14:textId="389F180A" w:rsidR="00005551" w:rsidRDefault="00005551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D06934" w:rsidRPr="00D06934">
        <w:rPr>
          <w:sz w:val="28"/>
          <w:szCs w:val="28"/>
          <w:lang w:val="ro-RO"/>
        </w:rPr>
        <w:t>30338/16.05.2024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 înregistrat sub nr</w:t>
      </w:r>
      <w:r w:rsidRPr="00CE32E7">
        <w:rPr>
          <w:sz w:val="28"/>
          <w:szCs w:val="28"/>
          <w:lang w:val="ro-RO"/>
        </w:rPr>
        <w:t xml:space="preserve">. </w:t>
      </w:r>
      <w:r w:rsidR="00CE32E7" w:rsidRPr="00CE32E7">
        <w:rPr>
          <w:sz w:val="28"/>
          <w:szCs w:val="28"/>
          <w:lang w:val="ro-RO"/>
        </w:rPr>
        <w:t>30339</w:t>
      </w:r>
      <w:r w:rsidR="00F76A7A" w:rsidRPr="00CE32E7">
        <w:rPr>
          <w:sz w:val="28"/>
          <w:szCs w:val="28"/>
          <w:lang w:val="ro-RO"/>
        </w:rPr>
        <w:t>/</w:t>
      </w:r>
      <w:r w:rsidR="000372C4" w:rsidRPr="00CE32E7">
        <w:rPr>
          <w:sz w:val="28"/>
          <w:szCs w:val="28"/>
          <w:lang w:val="ro-RO"/>
        </w:rPr>
        <w:t>1</w:t>
      </w:r>
      <w:r w:rsidR="00CE32E7" w:rsidRPr="00CE32E7">
        <w:rPr>
          <w:sz w:val="28"/>
          <w:szCs w:val="28"/>
          <w:lang w:val="ro-RO"/>
        </w:rPr>
        <w:t>6</w:t>
      </w:r>
      <w:r w:rsidR="00F76A7A" w:rsidRPr="00CE32E7">
        <w:rPr>
          <w:sz w:val="28"/>
          <w:szCs w:val="28"/>
          <w:lang w:val="ro-RO"/>
        </w:rPr>
        <w:t>.</w:t>
      </w:r>
      <w:r w:rsidR="00B41D35" w:rsidRPr="00CE32E7">
        <w:rPr>
          <w:sz w:val="28"/>
          <w:szCs w:val="28"/>
          <w:lang w:val="ro-RO"/>
        </w:rPr>
        <w:t>0</w:t>
      </w:r>
      <w:r w:rsidR="000372C4" w:rsidRPr="00CE32E7">
        <w:rPr>
          <w:sz w:val="28"/>
          <w:szCs w:val="28"/>
          <w:lang w:val="ro-RO"/>
        </w:rPr>
        <w:t>5</w:t>
      </w:r>
      <w:r w:rsidR="00F76A7A" w:rsidRPr="00CE32E7">
        <w:rPr>
          <w:sz w:val="28"/>
          <w:szCs w:val="28"/>
          <w:lang w:val="ro-RO"/>
        </w:rPr>
        <w:t>.202</w:t>
      </w:r>
      <w:r w:rsidR="00B41D35" w:rsidRPr="00CE32E7">
        <w:rPr>
          <w:sz w:val="28"/>
          <w:szCs w:val="28"/>
          <w:lang w:val="ro-RO"/>
        </w:rPr>
        <w:t>4</w:t>
      </w:r>
      <w:r w:rsidR="0016327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16327B" w:rsidRPr="001C18FF">
        <w:rPr>
          <w:sz w:val="28"/>
          <w:szCs w:val="28"/>
          <w:lang w:val="ro-RO"/>
        </w:rPr>
        <w:t>Serviciului Scrie</w:t>
      </w:r>
      <w:r w:rsidR="0016327B">
        <w:rPr>
          <w:sz w:val="28"/>
          <w:szCs w:val="28"/>
          <w:lang w:val="ro-RO"/>
        </w:rPr>
        <w:t>re,</w:t>
      </w:r>
      <w:r w:rsidR="0016327B" w:rsidRPr="001C18FF">
        <w:rPr>
          <w:sz w:val="28"/>
          <w:szCs w:val="28"/>
          <w:lang w:val="ro-RO"/>
        </w:rPr>
        <w:t xml:space="preserve"> Implementare </w:t>
      </w:r>
      <w:r w:rsidR="0016327B">
        <w:rPr>
          <w:sz w:val="28"/>
          <w:szCs w:val="28"/>
          <w:lang w:val="ro-RO"/>
        </w:rPr>
        <w:t>ș</w:t>
      </w:r>
      <w:r w:rsidR="0016327B" w:rsidRPr="001C18FF">
        <w:rPr>
          <w:sz w:val="28"/>
          <w:szCs w:val="28"/>
          <w:lang w:val="ro-RO"/>
        </w:rPr>
        <w:t xml:space="preserve">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16327B" w:rsidRPr="001C18FF">
        <w:rPr>
          <w:sz w:val="28"/>
          <w:szCs w:val="28"/>
          <w:lang w:val="ro-RO"/>
        </w:rPr>
        <w:t>Direcției Economice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E32E7" w:rsidRPr="00CE32E7">
        <w:rPr>
          <w:sz w:val="28"/>
          <w:szCs w:val="28"/>
          <w:lang w:val="ro-RO"/>
        </w:rPr>
        <w:t>30341</w:t>
      </w:r>
      <w:r w:rsidR="00F76A7A" w:rsidRPr="00CE32E7">
        <w:rPr>
          <w:sz w:val="28"/>
          <w:szCs w:val="28"/>
          <w:lang w:val="ro-RO"/>
        </w:rPr>
        <w:t>/</w:t>
      </w:r>
      <w:r w:rsidR="000372C4" w:rsidRPr="00CE32E7">
        <w:rPr>
          <w:sz w:val="28"/>
          <w:szCs w:val="28"/>
          <w:lang w:val="ro-RO"/>
        </w:rPr>
        <w:t>1</w:t>
      </w:r>
      <w:r w:rsidR="00CE32E7" w:rsidRPr="00CE32E7">
        <w:rPr>
          <w:sz w:val="28"/>
          <w:szCs w:val="28"/>
          <w:lang w:val="ro-RO"/>
        </w:rPr>
        <w:t>6</w:t>
      </w:r>
      <w:r w:rsidR="00F76A7A" w:rsidRPr="00CE32E7">
        <w:rPr>
          <w:sz w:val="28"/>
          <w:szCs w:val="28"/>
          <w:lang w:val="ro-RO"/>
        </w:rPr>
        <w:t>.</w:t>
      </w:r>
      <w:r w:rsidR="00B41D35" w:rsidRPr="00CE32E7">
        <w:rPr>
          <w:sz w:val="28"/>
          <w:szCs w:val="28"/>
          <w:lang w:val="ro-RO"/>
        </w:rPr>
        <w:t>0</w:t>
      </w:r>
      <w:r w:rsidR="000372C4" w:rsidRPr="00CE32E7">
        <w:rPr>
          <w:sz w:val="28"/>
          <w:szCs w:val="28"/>
          <w:lang w:val="ro-RO"/>
        </w:rPr>
        <w:t>5</w:t>
      </w:r>
      <w:r w:rsidR="00F76A7A" w:rsidRPr="00CE32E7">
        <w:rPr>
          <w:sz w:val="28"/>
          <w:szCs w:val="28"/>
          <w:lang w:val="ro-RO"/>
        </w:rPr>
        <w:t>.202</w:t>
      </w:r>
      <w:r w:rsidR="00B41D35" w:rsidRPr="00CE32E7">
        <w:rPr>
          <w:sz w:val="28"/>
          <w:szCs w:val="28"/>
          <w:lang w:val="ro-RO"/>
        </w:rPr>
        <w:t>4</w:t>
      </w:r>
      <w:r w:rsidR="00327BA0" w:rsidRPr="00CE32E7">
        <w:rPr>
          <w:sz w:val="28"/>
          <w:szCs w:val="28"/>
          <w:lang w:val="ro-RO"/>
        </w:rPr>
        <w:t xml:space="preserve">, </w:t>
      </w:r>
      <w:r w:rsidRPr="00CE32E7">
        <w:rPr>
          <w:sz w:val="28"/>
          <w:szCs w:val="28"/>
          <w:lang w:val="ro-RO"/>
        </w:rPr>
        <w:t>avizele</w:t>
      </w:r>
      <w:r w:rsidRPr="001C18FF">
        <w:rPr>
          <w:sz w:val="28"/>
          <w:szCs w:val="28"/>
          <w:lang w:val="ro-RO"/>
        </w:rPr>
        <w:t xml:space="preserve">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</w:p>
    <w:p w14:paraId="28826582" w14:textId="7E9DC627" w:rsidR="00817768" w:rsidRPr="001C18FF" w:rsidRDefault="008B63A6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mai verde,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cu mobilitate urbană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multimodală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urbane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multimodale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durabile, ca parte a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tranziţiei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bookmarkEnd w:id="3"/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5A1A936B" w:rsidR="001D5D7B" w:rsidRPr="001C18FF" w:rsidRDefault="009422E6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FE6AF9">
        <w:rPr>
          <w:sz w:val="28"/>
          <w:szCs w:val="28"/>
          <w:lang w:val="ro-RO"/>
        </w:rPr>
        <w:t xml:space="preserve"> </w:t>
      </w:r>
      <w:r w:rsidR="00D06934">
        <w:rPr>
          <w:sz w:val="28"/>
          <w:szCs w:val="28"/>
          <w:lang w:val="ro-RO"/>
        </w:rPr>
        <w:t xml:space="preserve">                    </w:t>
      </w:r>
      <w:r w:rsidRPr="001C18FF">
        <w:rPr>
          <w:sz w:val="28"/>
          <w:szCs w:val="28"/>
          <w:lang w:val="ro-RO"/>
        </w:rPr>
        <w:t xml:space="preserve">lit. a) şi lit. e) din O.U.G. nr. 57/2019 privind Codul administrativ, cu modificările și completările ulterioare, precum şi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8B69A4C" w14:textId="4A6A009D" w:rsidR="001D5D7B" w:rsidRDefault="001D5D7B" w:rsidP="0016327B">
      <w:pPr>
        <w:spacing w:after="0" w:line="240" w:lineRule="auto"/>
        <w:ind w:firstLine="720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lastRenderedPageBreak/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0C66887B" w:rsidR="00CE432C" w:rsidRDefault="006226B0" w:rsidP="0016327B">
      <w:pPr>
        <w:spacing w:after="0" w:line="240" w:lineRule="auto"/>
        <w:ind w:firstLine="720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Adoptă prezenta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7BF4ECC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D06934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>
        <w:rPr>
          <w:sz w:val="28"/>
          <w:szCs w:val="28"/>
          <w:lang w:val="ro-RO"/>
        </w:rPr>
        <w:t xml:space="preserve">” în vederea </w:t>
      </w:r>
      <w:proofErr w:type="spellStart"/>
      <w:r w:rsidR="00664372">
        <w:rPr>
          <w:sz w:val="28"/>
          <w:szCs w:val="28"/>
          <w:lang w:val="ro-RO"/>
        </w:rPr>
        <w:t>finanţării</w:t>
      </w:r>
      <w:proofErr w:type="spellEnd"/>
      <w:r w:rsidR="00664372">
        <w:rPr>
          <w:sz w:val="28"/>
          <w:szCs w:val="28"/>
          <w:lang w:val="ro-RO"/>
        </w:rPr>
        <w:t xml:space="preserve">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2: O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mai verde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multimodală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durabilă, Obiectiv specific 2.8: Promovarea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urbane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multimodale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durabile, ca parte a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tranziţiei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Acţiunea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BC6841A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>
        <w:rPr>
          <w:sz w:val="28"/>
          <w:szCs w:val="28"/>
          <w:lang w:val="ro-RO"/>
        </w:rPr>
        <w:t xml:space="preserve">” în cuantum de </w:t>
      </w:r>
      <w:r w:rsidR="00B160C5" w:rsidRPr="000349A4">
        <w:rPr>
          <w:sz w:val="28"/>
          <w:szCs w:val="28"/>
          <w:lang w:val="ro-RO"/>
        </w:rPr>
        <w:t>14</w:t>
      </w:r>
      <w:r w:rsidR="000349A4" w:rsidRPr="000349A4">
        <w:rPr>
          <w:sz w:val="28"/>
          <w:szCs w:val="28"/>
          <w:lang w:val="ro-RO"/>
        </w:rPr>
        <w:t>5.235.582,64</w:t>
      </w:r>
      <w:r w:rsidR="007B6C93" w:rsidRPr="000349A4">
        <w:rPr>
          <w:sz w:val="28"/>
          <w:szCs w:val="28"/>
          <w:lang w:val="ro-RO"/>
        </w:rPr>
        <w:t xml:space="preserve"> </w:t>
      </w:r>
      <w:r w:rsidR="00664372" w:rsidRPr="000349A4">
        <w:rPr>
          <w:sz w:val="28"/>
          <w:szCs w:val="28"/>
          <w:lang w:val="ro-RO"/>
        </w:rPr>
        <w:t>lei (inclusiv TVA).</w:t>
      </w:r>
      <w:r w:rsidR="007941B3" w:rsidRPr="002D15F8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02C40207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2D15F8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</w:t>
      </w:r>
      <w:proofErr w:type="spellStart"/>
      <w:r w:rsidR="00664372">
        <w:rPr>
          <w:sz w:val="28"/>
          <w:szCs w:val="28"/>
          <w:lang w:val="ro-RO"/>
        </w:rPr>
        <w:t>contribuţia</w:t>
      </w:r>
      <w:proofErr w:type="spellEnd"/>
      <w:r w:rsidR="00664372">
        <w:rPr>
          <w:sz w:val="28"/>
          <w:szCs w:val="28"/>
          <w:lang w:val="ro-RO"/>
        </w:rPr>
        <w:t xml:space="preserve"> proprie </w:t>
      </w:r>
      <w:r w:rsidR="00664372" w:rsidRPr="000349A4">
        <w:rPr>
          <w:sz w:val="28"/>
          <w:szCs w:val="28"/>
          <w:lang w:val="ro-RO"/>
        </w:rPr>
        <w:t>de</w:t>
      </w:r>
      <w:r w:rsidR="00B160C5" w:rsidRPr="000349A4">
        <w:rPr>
          <w:sz w:val="28"/>
          <w:szCs w:val="28"/>
          <w:lang w:val="ro-RO"/>
        </w:rPr>
        <w:t xml:space="preserve"> 2.3</w:t>
      </w:r>
      <w:r w:rsidR="000349A4" w:rsidRPr="000349A4">
        <w:rPr>
          <w:sz w:val="28"/>
          <w:szCs w:val="28"/>
          <w:lang w:val="ro-RO"/>
        </w:rPr>
        <w:t>73.701,62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2D15F8">
        <w:rPr>
          <w:sz w:val="28"/>
          <w:szCs w:val="28"/>
          <w:lang w:val="es-DO"/>
        </w:rPr>
        <w:t xml:space="preserve">ce revine autorităţii administraţiei publice locale a Municipiului Satu Mare aferente proiectului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B160C5">
        <w:rPr>
          <w:sz w:val="28"/>
          <w:szCs w:val="28"/>
          <w:lang w:val="ro-RO"/>
        </w:rPr>
        <w:t>e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1EAA3897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0349A4">
        <w:rPr>
          <w:sz w:val="28"/>
          <w:szCs w:val="28"/>
          <w:lang w:val="ro-RO"/>
        </w:rPr>
        <w:t xml:space="preserve"> 26.550.504,11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</w:t>
      </w:r>
      <w:proofErr w:type="spellStart"/>
      <w:r w:rsidR="007941B3" w:rsidRPr="00EA4E1F">
        <w:rPr>
          <w:sz w:val="28"/>
          <w:szCs w:val="28"/>
          <w:lang w:val="ro-RO"/>
        </w:rPr>
        <w:t>autorităţii</w:t>
      </w:r>
      <w:proofErr w:type="spellEnd"/>
      <w:r w:rsidR="007941B3" w:rsidRPr="00EA4E1F">
        <w:rPr>
          <w:sz w:val="28"/>
          <w:szCs w:val="28"/>
          <w:lang w:val="ro-RO"/>
        </w:rPr>
        <w:t xml:space="preserve"> </w:t>
      </w:r>
      <w:proofErr w:type="spellStart"/>
      <w:r w:rsidR="007941B3" w:rsidRPr="00EA4E1F">
        <w:rPr>
          <w:sz w:val="28"/>
          <w:szCs w:val="28"/>
          <w:lang w:val="ro-RO"/>
        </w:rPr>
        <w:t>administraţiei</w:t>
      </w:r>
      <w:proofErr w:type="spellEnd"/>
      <w:r w:rsidR="007941B3" w:rsidRPr="00EA4E1F">
        <w:rPr>
          <w:sz w:val="28"/>
          <w:szCs w:val="28"/>
          <w:lang w:val="ro-RO"/>
        </w:rPr>
        <w:t xml:space="preserve">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28DF717C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</w:t>
      </w:r>
      <w:proofErr w:type="spellStart"/>
      <w:r w:rsidR="007B6C93">
        <w:rPr>
          <w:sz w:val="28"/>
          <w:szCs w:val="28"/>
          <w:lang w:val="ro-RO"/>
        </w:rPr>
        <w:t>mentenanţă</w:t>
      </w:r>
      <w:proofErr w:type="spellEnd"/>
      <w:r w:rsidR="007B6C93">
        <w:rPr>
          <w:sz w:val="28"/>
          <w:szCs w:val="28"/>
          <w:lang w:val="ro-RO"/>
        </w:rPr>
        <w:t>/</w:t>
      </w:r>
      <w:proofErr w:type="spellStart"/>
      <w:r w:rsidR="007B6C93">
        <w:rPr>
          <w:sz w:val="28"/>
          <w:szCs w:val="28"/>
          <w:lang w:val="ro-RO"/>
        </w:rPr>
        <w:t>întreţinere</w:t>
      </w:r>
      <w:proofErr w:type="spellEnd"/>
      <w:r w:rsidR="007B6C93">
        <w:rPr>
          <w:sz w:val="28"/>
          <w:szCs w:val="28"/>
          <w:lang w:val="ro-RO"/>
        </w:rPr>
        <w:t xml:space="preserve">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lastRenderedPageBreak/>
        <w:t>Art. 6</w:t>
      </w:r>
      <w:r w:rsidRPr="002D15F8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proofErr w:type="spellStart"/>
      <w:r>
        <w:rPr>
          <w:sz w:val="28"/>
          <w:szCs w:val="28"/>
          <w:lang w:val="ro-RO"/>
        </w:rPr>
        <w:t>condiţiile</w:t>
      </w:r>
      <w:proofErr w:type="spellEnd"/>
      <w:r>
        <w:rPr>
          <w:sz w:val="28"/>
          <w:szCs w:val="28"/>
          <w:lang w:val="ro-RO"/>
        </w:rPr>
        <w:t xml:space="preserve">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2BA1FA0F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16327B" w:rsidRPr="001C18FF">
        <w:rPr>
          <w:sz w:val="28"/>
          <w:szCs w:val="28"/>
          <w:lang w:val="ro-RO"/>
        </w:rPr>
        <w:t xml:space="preserve">Direcția Economică </w:t>
      </w:r>
      <w:r w:rsidR="006226B0" w:rsidRPr="001C18FF">
        <w:rPr>
          <w:sz w:val="28"/>
          <w:szCs w:val="28"/>
          <w:lang w:val="ro-RO"/>
        </w:rPr>
        <w:t xml:space="preserve">şi </w:t>
      </w:r>
      <w:r w:rsidR="0016327B" w:rsidRPr="001C18FF">
        <w:rPr>
          <w:sz w:val="28"/>
          <w:szCs w:val="28"/>
          <w:lang w:val="ro-RO"/>
        </w:rPr>
        <w:t xml:space="preserve">Serviciul Scriere, Implementare </w:t>
      </w:r>
      <w:r w:rsidR="0016327B">
        <w:rPr>
          <w:sz w:val="28"/>
          <w:szCs w:val="28"/>
          <w:lang w:val="ro-RO"/>
        </w:rPr>
        <w:t>ș</w:t>
      </w:r>
      <w:r w:rsidR="0016327B" w:rsidRPr="001C18FF">
        <w:rPr>
          <w:sz w:val="28"/>
          <w:szCs w:val="28"/>
          <w:lang w:val="ro-RO"/>
        </w:rPr>
        <w:t>i Monitoriza</w:t>
      </w:r>
      <w:r w:rsidR="0016327B">
        <w:rPr>
          <w:sz w:val="28"/>
          <w:szCs w:val="28"/>
          <w:lang w:val="ro-RO"/>
        </w:rPr>
        <w:t>r</w:t>
      </w:r>
      <w:r w:rsidR="0016327B" w:rsidRPr="001C18FF">
        <w:rPr>
          <w:sz w:val="28"/>
          <w:szCs w:val="28"/>
          <w:lang w:val="ro-RO"/>
        </w:rPr>
        <w:t>e Proiecte.</w:t>
      </w:r>
    </w:p>
    <w:p w14:paraId="0B2F1BFC" w14:textId="266375C9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2D15F8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2D15F8">
        <w:rPr>
          <w:sz w:val="28"/>
          <w:szCs w:val="28"/>
          <w:lang w:val="ro-RO"/>
        </w:rPr>
        <w:t xml:space="preserve">- </w:t>
      </w:r>
      <w:r w:rsidR="0016327B" w:rsidRPr="001C18FF">
        <w:rPr>
          <w:sz w:val="28"/>
          <w:szCs w:val="28"/>
          <w:lang w:val="ro-RO"/>
        </w:rPr>
        <w:t>Judeţul</w:t>
      </w:r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16327B" w:rsidRPr="001C18FF">
        <w:rPr>
          <w:sz w:val="28"/>
          <w:szCs w:val="28"/>
          <w:lang w:val="ro-RO"/>
        </w:rPr>
        <w:t xml:space="preserve">Direcției Economice </w:t>
      </w:r>
      <w:r w:rsidR="009422E6" w:rsidRPr="001C18FF">
        <w:rPr>
          <w:sz w:val="28"/>
          <w:szCs w:val="28"/>
          <w:lang w:val="ro-RO"/>
        </w:rPr>
        <w:t xml:space="preserve">şi </w:t>
      </w:r>
      <w:r w:rsidR="0016327B" w:rsidRPr="001C18FF">
        <w:rPr>
          <w:sz w:val="28"/>
          <w:szCs w:val="28"/>
          <w:lang w:val="ro-RO"/>
        </w:rPr>
        <w:t xml:space="preserve">Serviciului Scriere, Implementare </w:t>
      </w:r>
      <w:r w:rsidR="0016327B">
        <w:rPr>
          <w:sz w:val="28"/>
          <w:szCs w:val="28"/>
          <w:lang w:val="ro-RO"/>
        </w:rPr>
        <w:t>ș</w:t>
      </w:r>
      <w:r w:rsidR="0016327B" w:rsidRPr="001C18FF">
        <w:rPr>
          <w:sz w:val="28"/>
          <w:szCs w:val="28"/>
          <w:lang w:val="ro-RO"/>
        </w:rPr>
        <w:t>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0981BD98" w14:textId="77777777" w:rsidR="00D06934" w:rsidRPr="005A3150" w:rsidRDefault="00D06934" w:rsidP="00D0693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1533560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/>
        </w:rPr>
        <w:t xml:space="preserve">           Cernea Victor Ioan      </w:t>
      </w: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A315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003396D2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562D9BD4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EBFEDEF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417AA7E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F44DE1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95CB417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47599DE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221DBE9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E9CA661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AA78AB6" w14:textId="77777777" w:rsidR="00D06934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816028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65291B5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ACA8EB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D902E1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A3150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extraordinară cu respectarea prevederilor art. 139 alin. (3) lit. </w:t>
      </w:r>
      <w:r>
        <w:rPr>
          <w:rFonts w:eastAsia="Times New Roman"/>
          <w:sz w:val="18"/>
          <w:szCs w:val="18"/>
          <w:lang w:val="es-DO" w:eastAsia="ro-RO"/>
        </w:rPr>
        <w:t>d</w:t>
      </w:r>
      <w:r w:rsidRPr="005A3150">
        <w:rPr>
          <w:rFonts w:eastAsia="Times New Roman"/>
          <w:sz w:val="18"/>
          <w:szCs w:val="18"/>
          <w:lang w:val="es-DO" w:eastAsia="ro-RO"/>
        </w:rPr>
        <w:t>)</w:t>
      </w:r>
      <w:r>
        <w:rPr>
          <w:rFonts w:eastAsia="Times New Roman"/>
          <w:sz w:val="18"/>
          <w:szCs w:val="18"/>
          <w:lang w:val="es-DO" w:eastAsia="ro-RO"/>
        </w:rPr>
        <w:t xml:space="preserve">, lit. g) </w:t>
      </w:r>
      <w:r w:rsidRPr="005A3150">
        <w:rPr>
          <w:rFonts w:eastAsia="Times New Roman"/>
          <w:sz w:val="18"/>
          <w:szCs w:val="18"/>
          <w:lang w:val="es-DO" w:eastAsia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06934" w:rsidRPr="005A3150" w14:paraId="58C98D3B" w14:textId="77777777" w:rsidTr="001F26A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4D4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F2DB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D06934" w:rsidRPr="00C70053" w14:paraId="1268B07E" w14:textId="77777777" w:rsidTr="001F26A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9D3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1E0" w14:textId="2760561B" w:rsidR="00D06934" w:rsidRPr="005A3150" w:rsidRDefault="00C70053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D06934" w:rsidRPr="005A3150" w14:paraId="1F0DAE5F" w14:textId="77777777" w:rsidTr="001F26A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DC0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FA2" w14:textId="35D40F58" w:rsidR="00D06934" w:rsidRPr="005A3150" w:rsidRDefault="00C70053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D06934" w:rsidRPr="005A3150" w14:paraId="228CC7D0" w14:textId="77777777" w:rsidTr="001F26A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827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19C" w14:textId="5205FFD7" w:rsidR="00D06934" w:rsidRPr="005A3150" w:rsidRDefault="00C70053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D06934" w:rsidRPr="005A3150" w14:paraId="20F5B9F9" w14:textId="77777777" w:rsidTr="001F26A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DBF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914C" w14:textId="4B34B6E4" w:rsidR="00D06934" w:rsidRPr="005A3150" w:rsidRDefault="00C70053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D06934" w:rsidRPr="005A3150" w14:paraId="650EF4A8" w14:textId="77777777" w:rsidTr="001F26A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4320" w14:textId="77777777" w:rsidR="00D06934" w:rsidRPr="005A3150" w:rsidRDefault="00D06934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8E9" w14:textId="40593639" w:rsidR="00D06934" w:rsidRPr="005A3150" w:rsidRDefault="00C70053" w:rsidP="001F26A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9CCABD9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A3150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0BE95D01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2A1B98C" w14:textId="77777777" w:rsidR="00D06934" w:rsidRPr="005A3150" w:rsidRDefault="00D06934" w:rsidP="00D0693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157DC97" w14:textId="77777777" w:rsidR="00D06934" w:rsidRPr="005A3150" w:rsidRDefault="00D06934" w:rsidP="00D0693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02B6778F" w14:textId="77777777" w:rsidR="00D06934" w:rsidRPr="005A3150" w:rsidRDefault="00D06934" w:rsidP="00D069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D154F3D" w14:textId="77777777" w:rsidR="00D06934" w:rsidRPr="005A3150" w:rsidRDefault="00D06934" w:rsidP="00D069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58DAA09" w14:textId="77777777" w:rsidR="00D06934" w:rsidRPr="005A3150" w:rsidRDefault="00D06934" w:rsidP="00D069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6C0E1B4" w14:textId="77777777" w:rsidR="00D06934" w:rsidRPr="005A3150" w:rsidRDefault="00D06934" w:rsidP="00D069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09F8656" w14:textId="77777777" w:rsidR="00D06934" w:rsidRPr="005A3150" w:rsidRDefault="00D06934" w:rsidP="00D0693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32F18A2D" w14:textId="77777777" w:rsidR="00D06934" w:rsidRPr="005A3150" w:rsidRDefault="00D06934" w:rsidP="00D06934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5A3150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sectPr w:rsidR="0004381E" w:rsidRPr="00E33EA3" w:rsidSect="00D06934">
      <w:footerReference w:type="default" r:id="rId10"/>
      <w:pgSz w:w="12240" w:h="15840"/>
      <w:pgMar w:top="127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34A5" w14:textId="77777777" w:rsidR="00CD4A38" w:rsidRDefault="00CD4A38" w:rsidP="00FE6A48">
      <w:pPr>
        <w:spacing w:after="0" w:line="240" w:lineRule="auto"/>
      </w:pPr>
      <w:r>
        <w:separator/>
      </w:r>
    </w:p>
  </w:endnote>
  <w:endnote w:type="continuationSeparator" w:id="0">
    <w:p w14:paraId="5D6FD9A6" w14:textId="77777777" w:rsidR="00CD4A38" w:rsidRDefault="00CD4A3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6977" w14:textId="77777777" w:rsidR="00CD4A38" w:rsidRDefault="00CD4A38" w:rsidP="00FE6A48">
      <w:pPr>
        <w:spacing w:after="0" w:line="240" w:lineRule="auto"/>
      </w:pPr>
      <w:r>
        <w:separator/>
      </w:r>
    </w:p>
  </w:footnote>
  <w:footnote w:type="continuationSeparator" w:id="0">
    <w:p w14:paraId="7642D63C" w14:textId="77777777" w:rsidR="00CD4A38" w:rsidRDefault="00CD4A3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49A4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26E46"/>
    <w:rsid w:val="00136AC4"/>
    <w:rsid w:val="00154C91"/>
    <w:rsid w:val="001615E2"/>
    <w:rsid w:val="0016327B"/>
    <w:rsid w:val="001823EA"/>
    <w:rsid w:val="00182EE7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13E6"/>
    <w:rsid w:val="002B4822"/>
    <w:rsid w:val="002B5917"/>
    <w:rsid w:val="002C11EF"/>
    <w:rsid w:val="002D15F8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B4D99"/>
    <w:rsid w:val="003C217D"/>
    <w:rsid w:val="003E4F79"/>
    <w:rsid w:val="003E6708"/>
    <w:rsid w:val="003E7B6A"/>
    <w:rsid w:val="003F69A7"/>
    <w:rsid w:val="00406CDC"/>
    <w:rsid w:val="00426D15"/>
    <w:rsid w:val="00435097"/>
    <w:rsid w:val="00436F1A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27DC1"/>
    <w:rsid w:val="005318D9"/>
    <w:rsid w:val="00547674"/>
    <w:rsid w:val="00566791"/>
    <w:rsid w:val="00575348"/>
    <w:rsid w:val="00576BF2"/>
    <w:rsid w:val="00591C3D"/>
    <w:rsid w:val="005B5C3E"/>
    <w:rsid w:val="005C3954"/>
    <w:rsid w:val="005C3B41"/>
    <w:rsid w:val="005E2E3A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1EC0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CF7"/>
    <w:rsid w:val="00BB0FB6"/>
    <w:rsid w:val="00BC1746"/>
    <w:rsid w:val="00BC3C9E"/>
    <w:rsid w:val="00BD4E41"/>
    <w:rsid w:val="00BE329D"/>
    <w:rsid w:val="00BE68DC"/>
    <w:rsid w:val="00C0373D"/>
    <w:rsid w:val="00C03A7E"/>
    <w:rsid w:val="00C21784"/>
    <w:rsid w:val="00C4280C"/>
    <w:rsid w:val="00C45332"/>
    <w:rsid w:val="00C4593C"/>
    <w:rsid w:val="00C5164B"/>
    <w:rsid w:val="00C621F9"/>
    <w:rsid w:val="00C70053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D4A38"/>
    <w:rsid w:val="00CE1616"/>
    <w:rsid w:val="00CE20B2"/>
    <w:rsid w:val="00CE32E7"/>
    <w:rsid w:val="00CE432C"/>
    <w:rsid w:val="00CF1D65"/>
    <w:rsid w:val="00CF611A"/>
    <w:rsid w:val="00CF7B82"/>
    <w:rsid w:val="00D052BD"/>
    <w:rsid w:val="00D06934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13EE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87BB5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66006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E6AF9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47</cp:revision>
  <cp:lastPrinted>2023-06-09T07:13:00Z</cp:lastPrinted>
  <dcterms:created xsi:type="dcterms:W3CDTF">2023-06-12T07:14:00Z</dcterms:created>
  <dcterms:modified xsi:type="dcterms:W3CDTF">2024-05-23T11:03:00Z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