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DE3" w:rsidRPr="00A9396D" w:rsidRDefault="00794DE3" w:rsidP="00794DE3">
      <w:pPr>
        <w:jc w:val="center"/>
        <w:rPr>
          <w:b/>
          <w:kern w:val="20"/>
          <w:sz w:val="28"/>
          <w:szCs w:val="28"/>
        </w:rPr>
      </w:pPr>
      <w:r w:rsidRPr="00A9396D">
        <w:rPr>
          <w:b/>
          <w:kern w:val="20"/>
          <w:sz w:val="28"/>
          <w:szCs w:val="28"/>
        </w:rPr>
        <w:t>ANEXA  NR. 1</w:t>
      </w:r>
    </w:p>
    <w:p w:rsidR="00794DE3" w:rsidRPr="00A9396D" w:rsidRDefault="00794DE3" w:rsidP="00794DE3">
      <w:pPr>
        <w:jc w:val="center"/>
        <w:rPr>
          <w:b/>
          <w:kern w:val="20"/>
          <w:sz w:val="28"/>
          <w:szCs w:val="28"/>
        </w:rPr>
      </w:pPr>
      <w:r w:rsidRPr="00A9396D">
        <w:rPr>
          <w:b/>
          <w:kern w:val="20"/>
          <w:sz w:val="28"/>
          <w:szCs w:val="28"/>
        </w:rPr>
        <w:t>la Hotărârea Consiliului local al municipiului Satu Mare</w:t>
      </w:r>
    </w:p>
    <w:p w:rsidR="00794DE3" w:rsidRPr="00A9396D" w:rsidRDefault="00904026" w:rsidP="00794DE3">
      <w:pPr>
        <w:jc w:val="center"/>
        <w:rPr>
          <w:b/>
          <w:kern w:val="20"/>
          <w:sz w:val="28"/>
          <w:szCs w:val="28"/>
        </w:rPr>
      </w:pPr>
      <w:r w:rsidRPr="00A9396D">
        <w:rPr>
          <w:b/>
          <w:kern w:val="20"/>
          <w:sz w:val="28"/>
          <w:szCs w:val="28"/>
        </w:rPr>
        <w:t>Nr.</w:t>
      </w:r>
      <w:r w:rsidR="00A9396D" w:rsidRPr="00A9396D">
        <w:rPr>
          <w:b/>
          <w:kern w:val="20"/>
          <w:sz w:val="28"/>
          <w:szCs w:val="28"/>
        </w:rPr>
        <w:t>187/19.07.2018</w:t>
      </w:r>
    </w:p>
    <w:p w:rsidR="00794DE3" w:rsidRPr="00A9396D" w:rsidRDefault="00794DE3" w:rsidP="00794DE3">
      <w:pPr>
        <w:rPr>
          <w:b/>
          <w:color w:val="FF0000"/>
          <w:kern w:val="20"/>
          <w:sz w:val="28"/>
          <w:szCs w:val="28"/>
        </w:rPr>
      </w:pPr>
    </w:p>
    <w:p w:rsidR="00B47A20" w:rsidRPr="00622A0F" w:rsidRDefault="00B47A20" w:rsidP="00794DE3">
      <w:pPr>
        <w:rPr>
          <w:color w:val="FF0000"/>
          <w:kern w:val="20"/>
          <w:sz w:val="28"/>
          <w:szCs w:val="28"/>
        </w:rPr>
      </w:pPr>
    </w:p>
    <w:p w:rsidR="00794DE3" w:rsidRPr="00622A0F" w:rsidRDefault="00794DE3" w:rsidP="00794DE3">
      <w:pPr>
        <w:jc w:val="center"/>
        <w:rPr>
          <w:kern w:val="20"/>
          <w:szCs w:val="24"/>
        </w:rPr>
      </w:pPr>
      <w:r w:rsidRPr="00622A0F">
        <w:rPr>
          <w:kern w:val="20"/>
          <w:szCs w:val="24"/>
        </w:rPr>
        <w:t xml:space="preserve">Caracteristicile principale şi indicatorii tehnico-economici ai obiectivului de investiţie : </w:t>
      </w:r>
    </w:p>
    <w:p w:rsidR="001C2DDF" w:rsidRPr="001C2DDF" w:rsidRDefault="001C2DDF" w:rsidP="001C2DDF">
      <w:pPr>
        <w:overflowPunct/>
        <w:autoSpaceDE/>
        <w:autoSpaceDN/>
        <w:adjustRightInd/>
        <w:jc w:val="center"/>
        <w:rPr>
          <w:rFonts w:ascii="Cambria" w:eastAsia="SimSun" w:hAnsi="Cambria" w:cs="Calibri Light"/>
          <w:bCs/>
          <w:szCs w:val="24"/>
          <w:lang w:eastAsia="zh-CN"/>
        </w:rPr>
      </w:pPr>
      <w:r w:rsidRPr="001C2DDF">
        <w:rPr>
          <w:rFonts w:ascii="Cambria" w:eastAsia="Calibri" w:hAnsi="Cambria" w:cs="Calibri Light"/>
          <w:b/>
          <w:szCs w:val="24"/>
          <w:lang w:eastAsia="en-US"/>
        </w:rPr>
        <w:t>,,Reabilitare clădire grădiniță cu orar prelungit nr. 11”</w:t>
      </w:r>
    </w:p>
    <w:p w:rsidR="00EE2993" w:rsidRPr="00622A0F" w:rsidRDefault="00EE2993" w:rsidP="00794DE3">
      <w:pPr>
        <w:rPr>
          <w:kern w:val="20"/>
          <w:sz w:val="28"/>
          <w:szCs w:val="28"/>
        </w:rPr>
      </w:pPr>
    </w:p>
    <w:p w:rsidR="001C2DDF" w:rsidRPr="00622A0F" w:rsidRDefault="00794DE3" w:rsidP="00AF3027">
      <w:pPr>
        <w:jc w:val="both"/>
        <w:rPr>
          <w:rFonts w:ascii="Cambria" w:eastAsia="SimSun" w:hAnsi="Cambria" w:cs="Calibri Light"/>
          <w:bCs/>
          <w:szCs w:val="24"/>
          <w:lang w:eastAsia="zh-CN"/>
        </w:rPr>
      </w:pPr>
      <w:r w:rsidRPr="00622A0F">
        <w:rPr>
          <w:kern w:val="20"/>
          <w:szCs w:val="24"/>
        </w:rPr>
        <w:t>Denumirea obiectivului de investiţie:</w:t>
      </w:r>
      <w:r w:rsidR="001C2DDF" w:rsidRPr="00622A0F">
        <w:rPr>
          <w:rFonts w:ascii="Cambria" w:eastAsia="Calibri" w:hAnsi="Cambria" w:cs="Calibri Light"/>
          <w:b/>
          <w:szCs w:val="24"/>
          <w:lang w:eastAsia="en-US"/>
        </w:rPr>
        <w:t>,,Reabilitare clădire grădiniță cu orar prelungit nr</w:t>
      </w:r>
      <w:r w:rsidR="005F6EB4" w:rsidRPr="00622A0F">
        <w:rPr>
          <w:rFonts w:ascii="Cambria" w:eastAsia="Calibri" w:hAnsi="Cambria" w:cs="Calibri Light"/>
          <w:b/>
          <w:szCs w:val="24"/>
          <w:lang w:eastAsia="en-US"/>
        </w:rPr>
        <w:t xml:space="preserve"> </w:t>
      </w:r>
      <w:r w:rsidR="00AF3027" w:rsidRPr="00622A0F">
        <w:rPr>
          <w:rFonts w:ascii="Cambria" w:eastAsia="Calibri" w:hAnsi="Cambria" w:cs="Calibri Light"/>
          <w:b/>
          <w:szCs w:val="24"/>
          <w:lang w:eastAsia="en-US"/>
        </w:rPr>
        <w:t>11</w:t>
      </w:r>
      <w:r w:rsidR="001C2DDF" w:rsidRPr="00622A0F">
        <w:rPr>
          <w:rFonts w:ascii="Cambria" w:eastAsia="Calibri" w:hAnsi="Cambria" w:cs="Calibri Light"/>
          <w:b/>
          <w:szCs w:val="24"/>
          <w:lang w:eastAsia="en-US"/>
        </w:rPr>
        <w:t>”</w:t>
      </w:r>
    </w:p>
    <w:p w:rsidR="00380258" w:rsidRPr="00622A0F" w:rsidRDefault="00794DE3" w:rsidP="00EB72FD">
      <w:pPr>
        <w:spacing w:line="276" w:lineRule="auto"/>
        <w:jc w:val="both"/>
        <w:rPr>
          <w:b/>
          <w:szCs w:val="24"/>
        </w:rPr>
      </w:pPr>
      <w:r w:rsidRPr="00622A0F">
        <w:rPr>
          <w:kern w:val="20"/>
          <w:szCs w:val="24"/>
        </w:rPr>
        <w:t>Elaborator :</w:t>
      </w:r>
      <w:r w:rsidR="00FF298F" w:rsidRPr="00622A0F">
        <w:rPr>
          <w:kern w:val="20"/>
          <w:szCs w:val="24"/>
        </w:rPr>
        <w:t xml:space="preserve"> </w:t>
      </w:r>
      <w:r w:rsidR="00380258" w:rsidRPr="00622A0F">
        <w:rPr>
          <w:b/>
          <w:szCs w:val="24"/>
        </w:rPr>
        <w:t xml:space="preserve">S.C. </w:t>
      </w:r>
      <w:r w:rsidR="001C2DDF" w:rsidRPr="00622A0F">
        <w:rPr>
          <w:b/>
          <w:szCs w:val="24"/>
        </w:rPr>
        <w:t xml:space="preserve">SALITHEA </w:t>
      </w:r>
      <w:r w:rsidR="00380258" w:rsidRPr="00622A0F">
        <w:rPr>
          <w:b/>
          <w:szCs w:val="24"/>
        </w:rPr>
        <w:t xml:space="preserve"> S.R.L. </w:t>
      </w:r>
      <w:r w:rsidR="001C2DDF" w:rsidRPr="00622A0F">
        <w:rPr>
          <w:b/>
          <w:szCs w:val="24"/>
        </w:rPr>
        <w:t>Baia Mare</w:t>
      </w:r>
    </w:p>
    <w:p w:rsidR="00794DE3" w:rsidRPr="00622A0F" w:rsidRDefault="00794DE3" w:rsidP="00EB72FD">
      <w:pPr>
        <w:spacing w:line="276" w:lineRule="auto"/>
        <w:jc w:val="both"/>
        <w:rPr>
          <w:szCs w:val="24"/>
        </w:rPr>
      </w:pPr>
      <w:r w:rsidRPr="00622A0F">
        <w:rPr>
          <w:kern w:val="20"/>
          <w:szCs w:val="24"/>
        </w:rPr>
        <w:t>Proiect nr</w:t>
      </w:r>
      <w:r w:rsidRPr="00622A0F">
        <w:rPr>
          <w:color w:val="FF0000"/>
          <w:kern w:val="20"/>
          <w:szCs w:val="24"/>
        </w:rPr>
        <w:t xml:space="preserve">. </w:t>
      </w:r>
      <w:r w:rsidR="001C2DDF" w:rsidRPr="00622A0F">
        <w:rPr>
          <w:szCs w:val="24"/>
        </w:rPr>
        <w:t>89</w:t>
      </w:r>
      <w:r w:rsidR="00EC6A16" w:rsidRPr="00622A0F">
        <w:rPr>
          <w:szCs w:val="24"/>
        </w:rPr>
        <w:t>/201</w:t>
      </w:r>
      <w:r w:rsidR="001C2DDF" w:rsidRPr="00622A0F">
        <w:rPr>
          <w:szCs w:val="24"/>
        </w:rPr>
        <w:t>7</w:t>
      </w:r>
      <w:r w:rsidRPr="00622A0F">
        <w:rPr>
          <w:kern w:val="20"/>
          <w:szCs w:val="24"/>
        </w:rPr>
        <w:t>,</w:t>
      </w:r>
    </w:p>
    <w:p w:rsidR="00794DE3" w:rsidRPr="00622A0F" w:rsidRDefault="00794DE3" w:rsidP="00EB72FD">
      <w:pPr>
        <w:spacing w:line="276" w:lineRule="auto"/>
        <w:jc w:val="both"/>
        <w:rPr>
          <w:b/>
          <w:kern w:val="20"/>
          <w:szCs w:val="24"/>
        </w:rPr>
      </w:pPr>
      <w:r w:rsidRPr="00622A0F">
        <w:rPr>
          <w:kern w:val="20"/>
          <w:szCs w:val="24"/>
        </w:rPr>
        <w:t xml:space="preserve">Persoana juridică achizitoare: </w:t>
      </w:r>
      <w:r w:rsidRPr="00622A0F">
        <w:rPr>
          <w:b/>
          <w:kern w:val="20"/>
          <w:szCs w:val="24"/>
        </w:rPr>
        <w:t>Municipiul satu Mare,</w:t>
      </w:r>
    </w:p>
    <w:p w:rsidR="00794DE3" w:rsidRPr="00622A0F" w:rsidRDefault="00794DE3" w:rsidP="00EB72FD">
      <w:pPr>
        <w:spacing w:line="276" w:lineRule="auto"/>
        <w:jc w:val="both"/>
        <w:rPr>
          <w:b/>
          <w:kern w:val="20"/>
          <w:szCs w:val="24"/>
        </w:rPr>
      </w:pPr>
      <w:r w:rsidRPr="00622A0F">
        <w:rPr>
          <w:kern w:val="20"/>
          <w:szCs w:val="24"/>
        </w:rPr>
        <w:t xml:space="preserve">Ordonatorul principal de credite: </w:t>
      </w:r>
      <w:r w:rsidRPr="00622A0F">
        <w:rPr>
          <w:b/>
          <w:kern w:val="20"/>
          <w:szCs w:val="24"/>
        </w:rPr>
        <w:t>Primăria municipiului Satu Mare,</w:t>
      </w:r>
    </w:p>
    <w:p w:rsidR="00794DE3" w:rsidRPr="00622A0F" w:rsidRDefault="00794DE3" w:rsidP="00EB72FD">
      <w:pPr>
        <w:spacing w:line="276" w:lineRule="auto"/>
        <w:jc w:val="both"/>
        <w:rPr>
          <w:kern w:val="20"/>
          <w:szCs w:val="24"/>
        </w:rPr>
      </w:pPr>
      <w:r w:rsidRPr="00622A0F">
        <w:rPr>
          <w:kern w:val="20"/>
          <w:szCs w:val="24"/>
        </w:rPr>
        <w:t>Amplasamentul obiectivului:</w:t>
      </w:r>
      <w:r w:rsidR="009917FB" w:rsidRPr="00622A0F">
        <w:rPr>
          <w:szCs w:val="24"/>
        </w:rPr>
        <w:t xml:space="preserve"> </w:t>
      </w:r>
      <w:r w:rsidR="003B2B3E" w:rsidRPr="00622A0F">
        <w:rPr>
          <w:szCs w:val="24"/>
        </w:rPr>
        <w:t>Strada</w:t>
      </w:r>
      <w:r w:rsidR="009B152A" w:rsidRPr="00622A0F">
        <w:rPr>
          <w:szCs w:val="24"/>
        </w:rPr>
        <w:t xml:space="preserve"> </w:t>
      </w:r>
      <w:r w:rsidR="001C2DDF" w:rsidRPr="00622A0F">
        <w:rPr>
          <w:szCs w:val="24"/>
        </w:rPr>
        <w:t>Postăvaru nr. 1</w:t>
      </w:r>
    </w:p>
    <w:p w:rsidR="00794DE3" w:rsidRPr="00622A0F" w:rsidRDefault="00794DE3" w:rsidP="00EB72FD">
      <w:pPr>
        <w:spacing w:line="276" w:lineRule="auto"/>
        <w:rPr>
          <w:b/>
          <w:color w:val="FF0000"/>
          <w:kern w:val="20"/>
          <w:szCs w:val="24"/>
        </w:rPr>
      </w:pPr>
    </w:p>
    <w:p w:rsidR="00794DE3" w:rsidRPr="00622A0F" w:rsidRDefault="00794DE3" w:rsidP="00794DE3">
      <w:pPr>
        <w:rPr>
          <w:kern w:val="20"/>
          <w:szCs w:val="24"/>
        </w:rPr>
      </w:pPr>
      <w:r w:rsidRPr="00622A0F">
        <w:rPr>
          <w:b/>
          <w:kern w:val="20"/>
          <w:szCs w:val="24"/>
        </w:rPr>
        <w:t>INDICATORII TEHNICO – ECONOMICI</w:t>
      </w:r>
      <w:r w:rsidRPr="00622A0F">
        <w:rPr>
          <w:kern w:val="20"/>
          <w:szCs w:val="24"/>
        </w:rPr>
        <w:t>:</w:t>
      </w:r>
    </w:p>
    <w:p w:rsidR="004D3D2D" w:rsidRPr="00622A0F" w:rsidRDefault="004D3D2D" w:rsidP="004D3D2D">
      <w:pPr>
        <w:pStyle w:val="ListParagraph"/>
        <w:ind w:left="510"/>
        <w:jc w:val="both"/>
        <w:rPr>
          <w:szCs w:val="24"/>
        </w:rPr>
      </w:pPr>
    </w:p>
    <w:p w:rsidR="00EC6A16" w:rsidRPr="00622A0F" w:rsidRDefault="00EC6A16" w:rsidP="00EC6A16">
      <w:pPr>
        <w:jc w:val="both"/>
        <w:rPr>
          <w:szCs w:val="24"/>
        </w:rPr>
      </w:pPr>
      <w:r w:rsidRPr="00622A0F">
        <w:rPr>
          <w:szCs w:val="24"/>
        </w:rPr>
        <w:t>• Valoarea  totală a investiţiei:</w:t>
      </w:r>
      <w:r w:rsidRPr="00622A0F">
        <w:rPr>
          <w:szCs w:val="24"/>
        </w:rPr>
        <w:tab/>
      </w:r>
      <w:r w:rsidRPr="00622A0F">
        <w:rPr>
          <w:szCs w:val="24"/>
        </w:rPr>
        <w:tab/>
      </w:r>
      <w:r w:rsidRPr="00622A0F">
        <w:rPr>
          <w:szCs w:val="24"/>
        </w:rPr>
        <w:tab/>
        <w:t xml:space="preserve">  </w:t>
      </w:r>
      <w:r w:rsidRPr="00622A0F">
        <w:rPr>
          <w:szCs w:val="24"/>
        </w:rPr>
        <w:tab/>
      </w:r>
      <w:r w:rsidR="00AF3027" w:rsidRPr="00622A0F">
        <w:rPr>
          <w:bCs/>
          <w:kern w:val="20"/>
          <w:szCs w:val="24"/>
        </w:rPr>
        <w:t xml:space="preserve">5.662.300 </w:t>
      </w:r>
      <w:r w:rsidR="00B055E8" w:rsidRPr="00622A0F">
        <w:rPr>
          <w:szCs w:val="24"/>
        </w:rPr>
        <w:t>lei fără TVA</w:t>
      </w:r>
    </w:p>
    <w:p w:rsidR="00EC6A16" w:rsidRPr="00622A0F" w:rsidRDefault="00EC6A16" w:rsidP="00EC6A16">
      <w:pPr>
        <w:jc w:val="both"/>
        <w:rPr>
          <w:szCs w:val="24"/>
        </w:rPr>
      </w:pPr>
      <w:r w:rsidRPr="00622A0F">
        <w:rPr>
          <w:szCs w:val="24"/>
        </w:rPr>
        <w:t xml:space="preserve">  din care:</w:t>
      </w:r>
    </w:p>
    <w:p w:rsidR="00EC6A16" w:rsidRPr="00622A0F" w:rsidRDefault="00EC6A16" w:rsidP="00EC6A16">
      <w:pPr>
        <w:jc w:val="both"/>
        <w:rPr>
          <w:szCs w:val="24"/>
        </w:rPr>
      </w:pPr>
      <w:r w:rsidRPr="00622A0F">
        <w:rPr>
          <w:szCs w:val="24"/>
        </w:rPr>
        <w:t xml:space="preserve">- construcţii - montaj: </w:t>
      </w:r>
      <w:r w:rsidRPr="00622A0F">
        <w:rPr>
          <w:szCs w:val="24"/>
        </w:rPr>
        <w:tab/>
      </w:r>
      <w:r w:rsidRPr="00622A0F">
        <w:rPr>
          <w:szCs w:val="24"/>
        </w:rPr>
        <w:tab/>
      </w:r>
      <w:r w:rsidRPr="00622A0F">
        <w:rPr>
          <w:szCs w:val="24"/>
        </w:rPr>
        <w:tab/>
      </w:r>
      <w:r w:rsidRPr="00622A0F">
        <w:rPr>
          <w:szCs w:val="24"/>
        </w:rPr>
        <w:tab/>
        <w:t xml:space="preserve">   </w:t>
      </w:r>
      <w:r w:rsidRPr="00622A0F">
        <w:rPr>
          <w:szCs w:val="24"/>
        </w:rPr>
        <w:tab/>
      </w:r>
      <w:r w:rsidR="00AF3027" w:rsidRPr="00622A0F">
        <w:rPr>
          <w:bCs/>
          <w:szCs w:val="24"/>
        </w:rPr>
        <w:t>3.504.650</w:t>
      </w:r>
      <w:r w:rsidR="00380258" w:rsidRPr="00622A0F">
        <w:rPr>
          <w:bCs/>
          <w:szCs w:val="24"/>
        </w:rPr>
        <w:t xml:space="preserve"> </w:t>
      </w:r>
      <w:r w:rsidRPr="00622A0F">
        <w:rPr>
          <w:kern w:val="20"/>
          <w:szCs w:val="24"/>
        </w:rPr>
        <w:t xml:space="preserve"> </w:t>
      </w:r>
      <w:r w:rsidR="00B055E8" w:rsidRPr="00622A0F">
        <w:rPr>
          <w:szCs w:val="24"/>
        </w:rPr>
        <w:t>lei fără TVA</w:t>
      </w:r>
    </w:p>
    <w:p w:rsidR="00EC6A16" w:rsidRPr="00622A0F" w:rsidRDefault="00EC6A16" w:rsidP="00EC6A16">
      <w:pPr>
        <w:jc w:val="both"/>
        <w:rPr>
          <w:color w:val="FF0000"/>
          <w:szCs w:val="24"/>
        </w:rPr>
      </w:pPr>
    </w:p>
    <w:p w:rsidR="00B055E8" w:rsidRPr="00622A0F" w:rsidRDefault="00EC6A16" w:rsidP="00AF3027">
      <w:pPr>
        <w:jc w:val="both"/>
        <w:rPr>
          <w:szCs w:val="24"/>
        </w:rPr>
      </w:pPr>
      <w:r w:rsidRPr="00622A0F">
        <w:rPr>
          <w:szCs w:val="24"/>
        </w:rPr>
        <w:t xml:space="preserve">• Eşalonarea investiţiei:   Anul  I   </w:t>
      </w:r>
      <w:r w:rsidRPr="00622A0F">
        <w:rPr>
          <w:szCs w:val="24"/>
        </w:rPr>
        <w:tab/>
      </w:r>
      <w:r w:rsidR="00622A0F" w:rsidRPr="00622A0F">
        <w:rPr>
          <w:szCs w:val="24"/>
        </w:rPr>
        <w:tab/>
      </w:r>
      <w:r w:rsidR="00622A0F" w:rsidRPr="00622A0F">
        <w:rPr>
          <w:szCs w:val="24"/>
        </w:rPr>
        <w:tab/>
      </w:r>
      <w:r w:rsidR="00622A0F" w:rsidRPr="00622A0F">
        <w:rPr>
          <w:szCs w:val="24"/>
        </w:rPr>
        <w:tab/>
      </w:r>
      <w:r w:rsidR="00AF3027" w:rsidRPr="00622A0F">
        <w:rPr>
          <w:bCs/>
          <w:szCs w:val="24"/>
        </w:rPr>
        <w:t xml:space="preserve">5.662.300 </w:t>
      </w:r>
      <w:r w:rsidR="00AF3027" w:rsidRPr="00622A0F">
        <w:rPr>
          <w:szCs w:val="24"/>
        </w:rPr>
        <w:t>lei fără TVA</w:t>
      </w:r>
    </w:p>
    <w:p w:rsidR="00EC6A16" w:rsidRPr="00622A0F" w:rsidRDefault="00EC6A16" w:rsidP="00EC6A16">
      <w:pPr>
        <w:jc w:val="both"/>
        <w:rPr>
          <w:color w:val="FF0000"/>
          <w:szCs w:val="24"/>
        </w:rPr>
      </w:pPr>
      <w:r w:rsidRPr="00622A0F">
        <w:rPr>
          <w:color w:val="FF0000"/>
          <w:szCs w:val="24"/>
        </w:rPr>
        <w:tab/>
      </w:r>
      <w:r w:rsidRPr="00622A0F">
        <w:rPr>
          <w:color w:val="FF0000"/>
          <w:szCs w:val="24"/>
        </w:rPr>
        <w:tab/>
      </w:r>
      <w:r w:rsidRPr="00622A0F">
        <w:rPr>
          <w:color w:val="FF0000"/>
          <w:szCs w:val="24"/>
        </w:rPr>
        <w:tab/>
      </w:r>
      <w:r w:rsidRPr="00622A0F">
        <w:rPr>
          <w:color w:val="FF0000"/>
          <w:szCs w:val="24"/>
        </w:rPr>
        <w:tab/>
        <w:t xml:space="preserve">   </w:t>
      </w:r>
      <w:r w:rsidR="003225F3" w:rsidRPr="00622A0F">
        <w:rPr>
          <w:color w:val="FF0000"/>
          <w:szCs w:val="24"/>
        </w:rPr>
        <w:tab/>
      </w:r>
    </w:p>
    <w:p w:rsidR="00EC6A16" w:rsidRPr="00622A0F" w:rsidRDefault="00EC6A16" w:rsidP="00EC6A16">
      <w:pPr>
        <w:jc w:val="both"/>
        <w:rPr>
          <w:szCs w:val="24"/>
        </w:rPr>
      </w:pPr>
      <w:r w:rsidRPr="00622A0F">
        <w:rPr>
          <w:szCs w:val="24"/>
        </w:rPr>
        <w:t xml:space="preserve">Durata de realizare a investiţiei </w:t>
      </w:r>
      <w:r w:rsidR="00AF3027" w:rsidRPr="00622A0F">
        <w:rPr>
          <w:szCs w:val="24"/>
        </w:rPr>
        <w:t>12</w:t>
      </w:r>
      <w:r w:rsidR="00EC5619" w:rsidRPr="00622A0F">
        <w:rPr>
          <w:szCs w:val="24"/>
        </w:rPr>
        <w:t xml:space="preserve"> </w:t>
      </w:r>
      <w:r w:rsidRPr="00622A0F">
        <w:rPr>
          <w:szCs w:val="24"/>
        </w:rPr>
        <w:t xml:space="preserve"> luni</w:t>
      </w:r>
    </w:p>
    <w:p w:rsidR="00EC6A16" w:rsidRPr="00622A0F" w:rsidRDefault="008E233E" w:rsidP="00F01F8E">
      <w:pPr>
        <w:pStyle w:val="ListParagraph"/>
        <w:numPr>
          <w:ilvl w:val="0"/>
          <w:numId w:val="3"/>
        </w:numPr>
        <w:overflowPunct/>
        <w:autoSpaceDE/>
        <w:autoSpaceDN/>
        <w:adjustRightInd/>
        <w:ind w:left="0" w:firstLine="567"/>
        <w:jc w:val="both"/>
        <w:rPr>
          <w:szCs w:val="24"/>
        </w:rPr>
      </w:pPr>
      <w:r w:rsidRPr="00622A0F">
        <w:rPr>
          <w:szCs w:val="24"/>
        </w:rPr>
        <w:t>2</w:t>
      </w:r>
      <w:r w:rsidR="00EC6A16" w:rsidRPr="00622A0F">
        <w:rPr>
          <w:szCs w:val="24"/>
        </w:rPr>
        <w:t xml:space="preserve"> luni sunt necesare realizării proiectului tehnic,</w:t>
      </w:r>
    </w:p>
    <w:p w:rsidR="00EC6A16" w:rsidRPr="00622A0F" w:rsidRDefault="008E233E" w:rsidP="00F01F8E">
      <w:pPr>
        <w:pStyle w:val="ListParagraph"/>
        <w:numPr>
          <w:ilvl w:val="0"/>
          <w:numId w:val="3"/>
        </w:numPr>
        <w:overflowPunct/>
        <w:autoSpaceDE/>
        <w:autoSpaceDN/>
        <w:adjustRightInd/>
        <w:ind w:left="0" w:firstLine="567"/>
        <w:jc w:val="both"/>
        <w:rPr>
          <w:szCs w:val="24"/>
        </w:rPr>
      </w:pPr>
      <w:r w:rsidRPr="00622A0F">
        <w:rPr>
          <w:szCs w:val="24"/>
        </w:rPr>
        <w:t>10</w:t>
      </w:r>
      <w:r w:rsidR="00EC6A16" w:rsidRPr="00622A0F">
        <w:rPr>
          <w:szCs w:val="24"/>
        </w:rPr>
        <w:t xml:space="preserve"> luni faza de execuție.</w:t>
      </w:r>
    </w:p>
    <w:p w:rsidR="00EC6A16" w:rsidRPr="00622A0F" w:rsidRDefault="00EC6A16" w:rsidP="00EC6A16">
      <w:pPr>
        <w:pStyle w:val="ListParagraph"/>
        <w:jc w:val="both"/>
        <w:rPr>
          <w:szCs w:val="24"/>
        </w:rPr>
      </w:pPr>
    </w:p>
    <w:p w:rsidR="00EB72FD" w:rsidRPr="00622A0F" w:rsidRDefault="00EB72FD" w:rsidP="00EC6A16">
      <w:pPr>
        <w:pStyle w:val="ListParagraph"/>
        <w:jc w:val="both"/>
        <w:rPr>
          <w:szCs w:val="24"/>
        </w:rPr>
      </w:pPr>
    </w:p>
    <w:p w:rsidR="00EC6A16" w:rsidRPr="00622A0F" w:rsidRDefault="00EC6A16" w:rsidP="00EC6A16">
      <w:pPr>
        <w:jc w:val="both"/>
        <w:rPr>
          <w:b/>
          <w:szCs w:val="24"/>
        </w:rPr>
      </w:pPr>
      <w:r w:rsidRPr="00622A0F">
        <w:rPr>
          <w:b/>
          <w:szCs w:val="24"/>
        </w:rPr>
        <w:t>CARACTERISTICI:</w:t>
      </w:r>
    </w:p>
    <w:p w:rsidR="00B47A20" w:rsidRPr="00622A0F" w:rsidRDefault="00B47A20" w:rsidP="00B47A20">
      <w:pPr>
        <w:pStyle w:val="NoSpacing"/>
        <w:rPr>
          <w:rFonts w:eastAsia="Calibri"/>
        </w:rPr>
      </w:pPr>
    </w:p>
    <w:p w:rsidR="00AF3027" w:rsidRPr="00622A0F" w:rsidRDefault="00AF3027" w:rsidP="00AF3027">
      <w:pPr>
        <w:pStyle w:val="ListParagraph"/>
        <w:numPr>
          <w:ilvl w:val="0"/>
          <w:numId w:val="11"/>
        </w:numPr>
        <w:overflowPunct/>
        <w:autoSpaceDE/>
        <w:autoSpaceDN/>
        <w:adjustRightInd/>
        <w:spacing w:after="200" w:line="276" w:lineRule="auto"/>
        <w:ind w:left="0" w:firstLine="567"/>
        <w:jc w:val="both"/>
      </w:pPr>
      <w:r w:rsidRPr="00622A0F">
        <w:t>Intervenţiile propuse ţin cont de starea tehnică a clădirii şcolii şi preconizează readucerea stării tehnice la nivelul cerinţelor actuale conform normelor şi normativelor în vigoare. Scopul lucrărilor este de reabilitare şi modernizare a clădirii, reabilitarea termică şi implicit găsirea de soluţii pentru reducerea consumului de energie convenţională.</w:t>
      </w:r>
    </w:p>
    <w:p w:rsidR="00AF3027" w:rsidRPr="00622A0F" w:rsidRDefault="00AF3027" w:rsidP="00AF3027">
      <w:pPr>
        <w:pStyle w:val="ListParagraph"/>
        <w:numPr>
          <w:ilvl w:val="0"/>
          <w:numId w:val="11"/>
        </w:numPr>
        <w:overflowPunct/>
        <w:autoSpaceDE/>
        <w:autoSpaceDN/>
        <w:adjustRightInd/>
        <w:spacing w:after="200" w:line="276" w:lineRule="auto"/>
        <w:ind w:left="0" w:firstLine="567"/>
        <w:jc w:val="both"/>
      </w:pPr>
      <w:r w:rsidRPr="00622A0F">
        <w:t>Astfel lucrările propuse sunt următoarele:</w:t>
      </w:r>
    </w:p>
    <w:p w:rsidR="00AF3027" w:rsidRPr="00622A0F" w:rsidRDefault="00AF3027" w:rsidP="00AF3027">
      <w:pPr>
        <w:pStyle w:val="ListParagraph"/>
        <w:numPr>
          <w:ilvl w:val="0"/>
          <w:numId w:val="11"/>
        </w:numPr>
        <w:overflowPunct/>
        <w:autoSpaceDE/>
        <w:autoSpaceDN/>
        <w:adjustRightInd/>
        <w:spacing w:after="200" w:line="276" w:lineRule="auto"/>
        <w:ind w:left="0" w:firstLine="567"/>
        <w:jc w:val="both"/>
      </w:pPr>
      <w:r w:rsidRPr="00622A0F">
        <w:t>reorganizarea, eficientizarea utilizării spaţiilor;</w:t>
      </w:r>
    </w:p>
    <w:p w:rsidR="00AF3027" w:rsidRPr="00622A0F" w:rsidRDefault="00AF3027" w:rsidP="00AF3027">
      <w:pPr>
        <w:pStyle w:val="ListParagraph"/>
        <w:numPr>
          <w:ilvl w:val="0"/>
          <w:numId w:val="11"/>
        </w:numPr>
        <w:overflowPunct/>
        <w:autoSpaceDE/>
        <w:autoSpaceDN/>
        <w:adjustRightInd/>
        <w:spacing w:after="200" w:line="276" w:lineRule="auto"/>
        <w:ind w:left="0" w:firstLine="567"/>
        <w:jc w:val="both"/>
      </w:pPr>
      <w:r w:rsidRPr="00622A0F">
        <w:t>modernizarea acceselor în clădire;</w:t>
      </w:r>
    </w:p>
    <w:p w:rsidR="00AF3027" w:rsidRPr="00622A0F" w:rsidRDefault="00AF3027" w:rsidP="00AF3027">
      <w:pPr>
        <w:pStyle w:val="ListParagraph"/>
        <w:numPr>
          <w:ilvl w:val="0"/>
          <w:numId w:val="11"/>
        </w:numPr>
        <w:overflowPunct/>
        <w:autoSpaceDE/>
        <w:autoSpaceDN/>
        <w:adjustRightInd/>
        <w:spacing w:after="200" w:line="276" w:lineRule="auto"/>
        <w:ind w:left="0" w:firstLine="567"/>
        <w:jc w:val="both"/>
      </w:pPr>
      <w:r w:rsidRPr="00622A0F">
        <w:t>realizarea mansardării clădirii şi amenajarea acestuia pentru spaţiu util pentru grădiniţă; structura mansardei se va realiza din zidărie portantă, rigidizată cu stâlpişori şi centuri armate; planşeu rezultat în spaţiul de sub şarpantă, termoizolat şi placat plăci din gipscarton, materiale care să corespundă cerinţelor de securitate la incendiu( placări şi termoizolaţii )*</w:t>
      </w:r>
    </w:p>
    <w:p w:rsidR="00AF3027" w:rsidRPr="00622A0F" w:rsidRDefault="00AF3027" w:rsidP="00AF3027">
      <w:pPr>
        <w:pStyle w:val="ListParagraph"/>
        <w:numPr>
          <w:ilvl w:val="0"/>
          <w:numId w:val="11"/>
        </w:numPr>
        <w:overflowPunct/>
        <w:autoSpaceDE/>
        <w:autoSpaceDN/>
        <w:adjustRightInd/>
        <w:spacing w:after="200" w:line="276" w:lineRule="auto"/>
        <w:ind w:left="0" w:firstLine="567"/>
        <w:jc w:val="both"/>
      </w:pPr>
      <w:r w:rsidRPr="00622A0F">
        <w:t xml:space="preserve">refacerea finisajelor interioare si exterioare; montarea de parasolare orizontale pe exterior fixe sau mobile*, acestea fiind şi foarte decorative pe faţada clădirilor. In acest caz geamul ferestrelor parterului se vor realiza din sticlă securizată.* </w:t>
      </w:r>
    </w:p>
    <w:p w:rsidR="00AF3027" w:rsidRPr="00622A0F" w:rsidRDefault="00AF3027" w:rsidP="00AF3027">
      <w:pPr>
        <w:pStyle w:val="ListParagraph"/>
        <w:numPr>
          <w:ilvl w:val="0"/>
          <w:numId w:val="11"/>
        </w:numPr>
        <w:overflowPunct/>
        <w:autoSpaceDE/>
        <w:autoSpaceDN/>
        <w:adjustRightInd/>
        <w:spacing w:after="200" w:line="276" w:lineRule="auto"/>
        <w:ind w:left="0" w:firstLine="567"/>
        <w:jc w:val="both"/>
      </w:pPr>
      <w:r w:rsidRPr="00622A0F">
        <w:t>termoizolarea planşeelor, pereţilor exteriori şi finisarea faţadelor, în vederea creşterii performanţei energetice conform recomandărilor auditului energetic; termoizolarea cu sistem termoizolant din polistiren de 15 cm grosime* şi finisaje cu tencuieli decorative</w:t>
      </w:r>
    </w:p>
    <w:p w:rsidR="00AF3027" w:rsidRPr="00622A0F" w:rsidRDefault="00AF3027" w:rsidP="00AF3027">
      <w:pPr>
        <w:pStyle w:val="ListParagraph"/>
        <w:numPr>
          <w:ilvl w:val="0"/>
          <w:numId w:val="11"/>
        </w:numPr>
        <w:overflowPunct/>
        <w:autoSpaceDE/>
        <w:autoSpaceDN/>
        <w:adjustRightInd/>
        <w:spacing w:after="200" w:line="276" w:lineRule="auto"/>
        <w:ind w:left="0" w:firstLine="567"/>
        <w:jc w:val="both"/>
      </w:pPr>
      <w:r w:rsidRPr="00622A0F">
        <w:t>refacerea şarpantei clădirii;</w:t>
      </w:r>
    </w:p>
    <w:p w:rsidR="00AF3027" w:rsidRPr="00622A0F" w:rsidRDefault="00AF3027" w:rsidP="00AF3027">
      <w:pPr>
        <w:pStyle w:val="ListParagraph"/>
        <w:numPr>
          <w:ilvl w:val="0"/>
          <w:numId w:val="11"/>
        </w:numPr>
        <w:overflowPunct/>
        <w:autoSpaceDE/>
        <w:autoSpaceDN/>
        <w:adjustRightInd/>
        <w:spacing w:after="200" w:line="276" w:lineRule="auto"/>
        <w:ind w:left="0" w:firstLine="567"/>
        <w:jc w:val="both"/>
      </w:pPr>
      <w:r w:rsidRPr="00622A0F">
        <w:lastRenderedPageBreak/>
        <w:t>realizarea unui spaţiu pentru seră şi pentru scenă exterioară – structură metalică tridimensională*;</w:t>
      </w:r>
    </w:p>
    <w:p w:rsidR="00AF3027" w:rsidRPr="00622A0F" w:rsidRDefault="00AF3027" w:rsidP="00AF3027">
      <w:pPr>
        <w:pStyle w:val="ListParagraph"/>
        <w:numPr>
          <w:ilvl w:val="0"/>
          <w:numId w:val="11"/>
        </w:numPr>
        <w:overflowPunct/>
        <w:autoSpaceDE/>
        <w:autoSpaceDN/>
        <w:adjustRightInd/>
        <w:spacing w:after="200" w:line="276" w:lineRule="auto"/>
        <w:ind w:left="0" w:firstLine="567"/>
        <w:jc w:val="both"/>
      </w:pPr>
      <w:r w:rsidRPr="00622A0F">
        <w:t>refacerea instalaţiilor interioare.</w:t>
      </w:r>
    </w:p>
    <w:p w:rsidR="00AF3027" w:rsidRPr="00AF3027" w:rsidRDefault="00AF3027" w:rsidP="00AF3027">
      <w:pPr>
        <w:overflowPunct/>
        <w:autoSpaceDE/>
        <w:autoSpaceDN/>
        <w:adjustRightInd/>
        <w:jc w:val="both"/>
        <w:rPr>
          <w:rFonts w:ascii="Cambria" w:eastAsia="SimSun" w:hAnsi="Cambria" w:cstheme="majorHAnsi"/>
          <w:b/>
          <w:bCs/>
          <w:szCs w:val="24"/>
          <w:lang w:eastAsia="zh-CN"/>
        </w:rPr>
      </w:pPr>
      <w:r w:rsidRPr="00AF3027">
        <w:rPr>
          <w:rFonts w:ascii="Cambria" w:eastAsia="SimSun" w:hAnsi="Cambria" w:cstheme="majorHAnsi"/>
          <w:b/>
          <w:bCs/>
          <w:szCs w:val="24"/>
          <w:lang w:eastAsia="zh-CN"/>
        </w:rPr>
        <w:t>Corpul 1. – propuneri:</w:t>
      </w:r>
    </w:p>
    <w:p w:rsidR="00AF3027" w:rsidRPr="00AF3027" w:rsidRDefault="00AF3027" w:rsidP="00F01F8E">
      <w:pPr>
        <w:numPr>
          <w:ilvl w:val="0"/>
          <w:numId w:val="12"/>
        </w:numPr>
        <w:overflowPunct/>
        <w:autoSpaceDE/>
        <w:autoSpaceDN/>
        <w:adjustRightInd/>
        <w:ind w:left="0" w:firstLine="567"/>
        <w:contextualSpacing/>
        <w:jc w:val="both"/>
        <w:rPr>
          <w:rFonts w:ascii="Cambria" w:eastAsia="SimSun" w:hAnsi="Cambria" w:cstheme="majorHAnsi"/>
          <w:bCs/>
          <w:szCs w:val="24"/>
          <w:lang w:eastAsia="zh-CN"/>
        </w:rPr>
      </w:pPr>
      <w:r w:rsidRPr="00AF3027">
        <w:rPr>
          <w:rFonts w:ascii="Cambria" w:eastAsia="SimSun" w:hAnsi="Cambria" w:cstheme="majorHAnsi"/>
          <w:bCs/>
          <w:szCs w:val="24"/>
          <w:lang w:eastAsia="zh-CN"/>
        </w:rPr>
        <w:t>PARTER</w:t>
      </w:r>
      <w:r w:rsidRPr="00AF3027">
        <w:rPr>
          <w:rFonts w:ascii="Cambria" w:eastAsia="SimSun" w:hAnsi="Cambria" w:cstheme="majorHAnsi"/>
          <w:b/>
          <w:bCs/>
          <w:szCs w:val="24"/>
          <w:lang w:eastAsia="zh-CN"/>
        </w:rPr>
        <w:t xml:space="preserve"> </w:t>
      </w:r>
      <w:r w:rsidRPr="00AF3027">
        <w:rPr>
          <w:rFonts w:ascii="Cambria" w:eastAsia="SimSun" w:hAnsi="Cambria" w:cstheme="majorHAnsi"/>
          <w:bCs/>
          <w:szCs w:val="24"/>
          <w:lang w:eastAsia="zh-CN"/>
        </w:rPr>
        <w:t xml:space="preserve">– se păstrează aceleaşi funcţiuni ca şi în prezent. Aceste săli de grupă vor fi destinate grupei de vârstă mică, sălile având triplă funcţiune: activităţi , dormitor, sala de mese. Având în vedere că deplasarea acestei grupe de copii este dificilă şi anevoioasă s-a adoptat varianta utilizării acestor spaţii pentru toate felurile de activităţi. </w:t>
      </w:r>
    </w:p>
    <w:p w:rsidR="00AF3027" w:rsidRPr="00AF3027" w:rsidRDefault="00AF3027" w:rsidP="00F01F8E">
      <w:pPr>
        <w:numPr>
          <w:ilvl w:val="0"/>
          <w:numId w:val="12"/>
        </w:numPr>
        <w:overflowPunct/>
        <w:autoSpaceDE/>
        <w:autoSpaceDN/>
        <w:adjustRightInd/>
        <w:ind w:left="0" w:firstLine="567"/>
        <w:contextualSpacing/>
        <w:jc w:val="both"/>
        <w:rPr>
          <w:rFonts w:ascii="Cambria" w:eastAsia="SimSun" w:hAnsi="Cambria" w:cstheme="majorHAnsi"/>
          <w:bCs/>
          <w:szCs w:val="24"/>
          <w:lang w:eastAsia="zh-CN"/>
        </w:rPr>
      </w:pPr>
      <w:r w:rsidRPr="00AF3027">
        <w:rPr>
          <w:rFonts w:ascii="Cambria" w:eastAsia="SimSun" w:hAnsi="Cambria" w:cstheme="majorHAnsi"/>
          <w:bCs/>
          <w:szCs w:val="24"/>
          <w:lang w:eastAsia="zh-CN"/>
        </w:rPr>
        <w:t>sălile dispun de un grup sanitar comun, având câte un spaţiu de depozitare fiecare.</w:t>
      </w:r>
    </w:p>
    <w:p w:rsidR="00AF3027" w:rsidRPr="00AF3027" w:rsidRDefault="00AF3027" w:rsidP="00F01F8E">
      <w:pPr>
        <w:numPr>
          <w:ilvl w:val="0"/>
          <w:numId w:val="12"/>
        </w:numPr>
        <w:overflowPunct/>
        <w:autoSpaceDE/>
        <w:autoSpaceDN/>
        <w:adjustRightInd/>
        <w:ind w:left="0" w:firstLine="567"/>
        <w:contextualSpacing/>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ETAJ I. – Nu sunt propuse schimbări în ceea ce priveşte funcţiunile spaţiilor existente – două săli de grupă cu primire-vestiar şi grup sanitar comun, depozite, şi bibliotecă.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p>
    <w:p w:rsidR="00AF3027" w:rsidRPr="00AF3027" w:rsidRDefault="00AF3027" w:rsidP="00AF3027">
      <w:pPr>
        <w:overflowPunct/>
        <w:autoSpaceDE/>
        <w:autoSpaceDN/>
        <w:adjustRightInd/>
        <w:jc w:val="both"/>
        <w:rPr>
          <w:rFonts w:ascii="Cambria" w:eastAsia="SimSun" w:hAnsi="Cambria" w:cstheme="majorHAnsi"/>
          <w:b/>
          <w:bCs/>
          <w:szCs w:val="24"/>
          <w:lang w:eastAsia="zh-CN"/>
        </w:rPr>
      </w:pPr>
      <w:r w:rsidRPr="00AF3027">
        <w:rPr>
          <w:rFonts w:ascii="Cambria" w:eastAsia="SimSun" w:hAnsi="Cambria" w:cstheme="majorHAnsi"/>
          <w:b/>
          <w:bCs/>
          <w:szCs w:val="24"/>
          <w:lang w:eastAsia="zh-CN"/>
        </w:rPr>
        <w:t>Corpul 2. şi 3. – propuneri:</w:t>
      </w:r>
    </w:p>
    <w:p w:rsidR="00AF3027" w:rsidRPr="00AF3027" w:rsidRDefault="00AF3027" w:rsidP="009E5E60">
      <w:pPr>
        <w:numPr>
          <w:ilvl w:val="0"/>
          <w:numId w:val="12"/>
        </w:numPr>
        <w:overflowPunct/>
        <w:autoSpaceDE/>
        <w:autoSpaceDN/>
        <w:adjustRightInd/>
        <w:ind w:left="0" w:firstLine="567"/>
        <w:contextualSpacing/>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 PARTER : se păstrează aceleaşi funcţiuni existente în prezent. Fluxul tehnologic al spaţiului de preparare a hranei se va desfăşurara asemenea celei existente, fiind asigurate spaţiile necesare din punct de vedere igienico-sanitar. </w:t>
      </w:r>
    </w:p>
    <w:p w:rsidR="00AF3027" w:rsidRPr="00AF3027" w:rsidRDefault="00AF3027" w:rsidP="009E5E60">
      <w:pPr>
        <w:numPr>
          <w:ilvl w:val="0"/>
          <w:numId w:val="12"/>
        </w:numPr>
        <w:overflowPunct/>
        <w:autoSpaceDE/>
        <w:autoSpaceDN/>
        <w:adjustRightInd/>
        <w:ind w:left="0" w:firstLine="567"/>
        <w:contextualSpacing/>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Accesul personalului se va face prin filtrul sanitar în bucătărie şi spaţiile anexe. </w:t>
      </w:r>
    </w:p>
    <w:p w:rsidR="00AF3027" w:rsidRPr="00AF3027" w:rsidRDefault="00AF3027" w:rsidP="009E5E60">
      <w:pPr>
        <w:numPr>
          <w:ilvl w:val="0"/>
          <w:numId w:val="12"/>
        </w:numPr>
        <w:overflowPunct/>
        <w:autoSpaceDE/>
        <w:autoSpaceDN/>
        <w:adjustRightInd/>
        <w:ind w:left="0" w:firstLine="567"/>
        <w:contextualSpacing/>
        <w:jc w:val="both"/>
        <w:rPr>
          <w:rFonts w:ascii="Cambria" w:eastAsia="SimSun" w:hAnsi="Cambria" w:cstheme="majorHAnsi"/>
          <w:bCs/>
          <w:szCs w:val="24"/>
          <w:lang w:eastAsia="zh-CN"/>
        </w:rPr>
      </w:pPr>
      <w:r w:rsidRPr="00AF3027">
        <w:rPr>
          <w:rFonts w:ascii="Cambria" w:eastAsia="SimSun" w:hAnsi="Cambria" w:cstheme="majorHAnsi"/>
          <w:bCs/>
          <w:szCs w:val="24"/>
          <w:lang w:eastAsia="zh-CN"/>
        </w:rPr>
        <w:t>Aprovizionarea se va face independent de accesul personalului şi al copiilor cu legătură directă spre spaţiile de depozitare.Servirea se va face din bucătărie spre sălile de mese prin coridorul comun al celor două săli de mese. Debarasarea se va face prin oficiul-spălător vase, cu legătură spre bucătărie.</w:t>
      </w:r>
    </w:p>
    <w:p w:rsidR="00AF3027" w:rsidRPr="00AF3027" w:rsidRDefault="00AF3027" w:rsidP="009E5E60">
      <w:pPr>
        <w:numPr>
          <w:ilvl w:val="0"/>
          <w:numId w:val="12"/>
        </w:numPr>
        <w:overflowPunct/>
        <w:autoSpaceDE/>
        <w:autoSpaceDN/>
        <w:adjustRightInd/>
        <w:ind w:left="0" w:firstLine="567"/>
        <w:contextualSpacing/>
        <w:jc w:val="both"/>
        <w:rPr>
          <w:rFonts w:ascii="Cambria" w:eastAsia="SimSun" w:hAnsi="Cambria" w:cstheme="majorHAnsi"/>
          <w:bCs/>
          <w:szCs w:val="24"/>
          <w:lang w:eastAsia="zh-CN"/>
        </w:rPr>
      </w:pPr>
      <w:r w:rsidRPr="00AF3027">
        <w:rPr>
          <w:rFonts w:ascii="Cambria" w:eastAsia="SimSun" w:hAnsi="Cambria" w:cstheme="majorHAnsi"/>
          <w:bCs/>
          <w:szCs w:val="24"/>
          <w:lang w:eastAsia="zh-CN"/>
        </w:rPr>
        <w:t>In corpul 3. Nu se propun schimbări ale funcţiunilor spaţiilor.</w:t>
      </w:r>
    </w:p>
    <w:p w:rsidR="00AF3027" w:rsidRPr="00AF3027" w:rsidRDefault="00AF3027" w:rsidP="009E5E60">
      <w:pPr>
        <w:numPr>
          <w:ilvl w:val="0"/>
          <w:numId w:val="12"/>
        </w:numPr>
        <w:overflowPunct/>
        <w:autoSpaceDE/>
        <w:autoSpaceDN/>
        <w:adjustRightInd/>
        <w:ind w:left="0" w:firstLine="567"/>
        <w:contextualSpacing/>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 ETAJ I.: - spaţiile de deservire – spălătorie-uscătorie-călcătorie, magazie, oficiu respectiv centrala termică se păstrează.  </w:t>
      </w:r>
    </w:p>
    <w:p w:rsidR="00AF3027" w:rsidRPr="00AF3027" w:rsidRDefault="00AF3027" w:rsidP="00AF3027">
      <w:pPr>
        <w:overflowPunct/>
        <w:autoSpaceDE/>
        <w:autoSpaceDN/>
        <w:adjustRightInd/>
        <w:ind w:firstLine="567"/>
        <w:rPr>
          <w:rFonts w:ascii="Cambria" w:eastAsia="SimSun" w:hAnsi="Cambria" w:cstheme="majorHAnsi"/>
          <w:b/>
          <w:bCs/>
          <w:szCs w:val="24"/>
          <w:lang w:eastAsia="zh-CN"/>
        </w:rPr>
      </w:pPr>
    </w:p>
    <w:p w:rsidR="00AF3027" w:rsidRPr="00AF3027" w:rsidRDefault="00AF3027" w:rsidP="009E5E60">
      <w:pPr>
        <w:numPr>
          <w:ilvl w:val="0"/>
          <w:numId w:val="12"/>
        </w:numPr>
        <w:overflowPunct/>
        <w:autoSpaceDE/>
        <w:autoSpaceDN/>
        <w:adjustRightInd/>
        <w:ind w:left="0" w:firstLine="567"/>
        <w:contextualSpacing/>
        <w:rPr>
          <w:rFonts w:ascii="Cambria" w:eastAsia="SimSun" w:hAnsi="Cambria" w:cstheme="majorHAnsi"/>
          <w:b/>
          <w:bCs/>
          <w:szCs w:val="24"/>
          <w:lang w:eastAsia="zh-CN"/>
        </w:rPr>
      </w:pPr>
      <w:r w:rsidRPr="00AF3027">
        <w:rPr>
          <w:rFonts w:ascii="Cambria" w:eastAsia="SimSun" w:hAnsi="Cambria" w:cstheme="majorHAnsi"/>
          <w:b/>
          <w:bCs/>
          <w:szCs w:val="24"/>
          <w:lang w:eastAsia="zh-CN"/>
        </w:rPr>
        <w:t xml:space="preserve">Corpul 4.- propuneri </w:t>
      </w:r>
    </w:p>
    <w:p w:rsidR="00AF3027" w:rsidRPr="00AF3027" w:rsidRDefault="00AF3027" w:rsidP="009E5E60">
      <w:pPr>
        <w:numPr>
          <w:ilvl w:val="0"/>
          <w:numId w:val="12"/>
        </w:numPr>
        <w:overflowPunct/>
        <w:autoSpaceDE/>
        <w:autoSpaceDN/>
        <w:adjustRightInd/>
        <w:ind w:left="0" w:firstLine="567"/>
        <w:contextualSpacing/>
        <w:rPr>
          <w:rFonts w:ascii="Cambria" w:eastAsia="SimSun" w:hAnsi="Cambria" w:cstheme="majorHAnsi"/>
          <w:bCs/>
          <w:szCs w:val="24"/>
          <w:lang w:eastAsia="zh-CN"/>
        </w:rPr>
      </w:pPr>
      <w:r w:rsidRPr="00AF3027">
        <w:rPr>
          <w:rFonts w:ascii="Cambria" w:eastAsia="SimSun" w:hAnsi="Cambria" w:cstheme="majorHAnsi"/>
          <w:bCs/>
          <w:szCs w:val="24"/>
          <w:lang w:eastAsia="zh-CN"/>
        </w:rPr>
        <w:t>PARTER : sălile initiale de grupă se transformă în săli de luat masa ( una din aceste săli de grupă funcţionează şi în prezent ca sală de mese).</w:t>
      </w:r>
    </w:p>
    <w:p w:rsidR="00AF3027" w:rsidRPr="00AF3027" w:rsidRDefault="00AF3027" w:rsidP="009E5E60">
      <w:pPr>
        <w:numPr>
          <w:ilvl w:val="0"/>
          <w:numId w:val="12"/>
        </w:numPr>
        <w:overflowPunct/>
        <w:autoSpaceDE/>
        <w:autoSpaceDN/>
        <w:adjustRightInd/>
        <w:ind w:left="0" w:firstLine="567"/>
        <w:contextualSpacing/>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ETAJ : nu sunt propuse schimbări de funcţiuni . </w:t>
      </w:r>
    </w:p>
    <w:p w:rsidR="00AF3027" w:rsidRPr="00AF3027" w:rsidRDefault="00AF3027" w:rsidP="00AF3027">
      <w:pPr>
        <w:overflowPunct/>
        <w:autoSpaceDE/>
        <w:autoSpaceDN/>
        <w:adjustRightInd/>
        <w:ind w:firstLine="567"/>
        <w:rPr>
          <w:rFonts w:ascii="Cambria" w:eastAsia="SimSun" w:hAnsi="Cambria" w:cstheme="majorHAnsi"/>
          <w:bCs/>
          <w:szCs w:val="24"/>
          <w:lang w:eastAsia="zh-CN"/>
        </w:rPr>
      </w:pP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Intrarea principală în unitate este situată pe faţada estică a clădirii, ce se propune să se reamenajeze cu o altă rampă de acces dimensionată şi dotată conform normativelor.Se va reface finisajul scărilor şi totodată se propune realizarea unei terase la nivelul etajului I. marcând astfel accesul şi realizând acoperirea acestuia prin prelungirea acoperişului.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La corpul 2 şi 4. sunt propuse amenajări în ceea ce priveşte refacerea scărilor, a rampelor de acces pentru persoane cu dizabilităti şi pentru accesul cu cărucioare de copii.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Accesele se vor acoperi cu copertine pentru protejarea podestelor şi a scărilor de acces.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Conform comenzii beneficiarului şi a Caietului de sarcini, solicitarea privind crearea de noi spaţii pentru săli de grupă şi săli pentru diferite activităţi, festivităţi, pentru întruniri ale cadrelor didactice face ca propunerile să se refere la mansardarea întregii clădiri.</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Realizarea unui nivel suplimentar peste clădirea existentă presupune demolarea şarpantei existente şi realizarea unei şarpante noi.</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Pentru realizarea unui nivel peste etajul I. existent se vor decoperta straturile de termo-hidroizolaţie, precum şi a betonului de pantă.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Structura mansardei se va realiza din zidărie portantă din BCA, regidizată cu stâlpişori, şi centuri de beton armat.</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Mansardarea se va face prin realizarea pereţilor perimetrali pe aliniamentul aticului existent, cu decrosul de 10 cm spre exterior. Astfel partea de clădire nou creată se va putea </w:t>
      </w:r>
      <w:r w:rsidRPr="00AF3027">
        <w:rPr>
          <w:rFonts w:ascii="Cambria" w:eastAsia="SimSun" w:hAnsi="Cambria" w:cstheme="majorHAnsi"/>
          <w:bCs/>
          <w:szCs w:val="24"/>
          <w:lang w:eastAsia="zh-CN"/>
        </w:rPr>
        <w:lastRenderedPageBreak/>
        <w:t xml:space="preserve">distinge ca şi volumetrie, ca finisaje şi goluri de tâmplărie diferite de cele de la nivelurile inferioare.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Pentru a obţine o înălţime liberă corespunzătoare, zidurile perimetrale vor avea înălţimea de 1,75 m pe care se va poza structura noii şarpante.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ab/>
      </w:r>
      <w:r w:rsidRPr="00AF3027">
        <w:rPr>
          <w:rFonts w:ascii="Cambria" w:eastAsia="SimSun" w:hAnsi="Cambria" w:cstheme="majorHAnsi"/>
          <w:b/>
          <w:bCs/>
          <w:szCs w:val="24"/>
          <w:lang w:eastAsia="zh-CN"/>
        </w:rPr>
        <w:t>Structura nouă a şarpantei</w:t>
      </w:r>
      <w:r w:rsidRPr="00AF3027">
        <w:rPr>
          <w:rFonts w:ascii="Cambria" w:eastAsia="SimSun" w:hAnsi="Cambria" w:cstheme="majorHAnsi"/>
          <w:bCs/>
          <w:szCs w:val="24"/>
          <w:lang w:eastAsia="zh-CN"/>
        </w:rPr>
        <w:t xml:space="preserve"> pe întreaga clădire presupune realizarea unei structuri unitare cu învelitoare din acelaşi material, crearea pereţilor antifoc între corpuri, obţinând astfel o unitate din punct de vedere arhitectural al întregii clădiri.</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ab/>
        <w:t>Refacerea şarpantei se va face adoptând o soluţie clasică de şarpantă de lemn pe scaune, în 2 ape, fără a interveni cu lucarne, petreceri ale planurilor acoperişului, etc., eliminând astfel posibilitatea creerii de punct sensibile privind posibilitatea de infiltraţii ale apelor pluviale în zone de coame şi dolii suplimentare. Sistemul în două ape face posibilă realizarea mult mai facilă a compartimentelor de incendiu prin realizarea pereţilor antifoc mai ales la nivelul şarpantei.</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ab/>
      </w:r>
      <w:r w:rsidRPr="00AF3027">
        <w:rPr>
          <w:rFonts w:ascii="Cambria" w:eastAsia="SimSun" w:hAnsi="Cambria" w:cstheme="majorHAnsi"/>
          <w:b/>
          <w:bCs/>
          <w:szCs w:val="24"/>
          <w:lang w:eastAsia="zh-CN"/>
        </w:rPr>
        <w:t>Structura şarpantei</w:t>
      </w:r>
      <w:r w:rsidRPr="00AF3027">
        <w:rPr>
          <w:rFonts w:ascii="Cambria" w:eastAsia="SimSun" w:hAnsi="Cambria" w:cstheme="majorHAnsi"/>
          <w:bCs/>
          <w:szCs w:val="24"/>
          <w:lang w:eastAsia="zh-CN"/>
        </w:rPr>
        <w:t xml:space="preserve"> se va realiza cu sprijin pe structura de rezistenţă a clădirii, pe pereţii şi grinzile structurii; aticul existent se va putea utiliza, parţial, în completarea peretelui perimetral propus.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ab/>
      </w:r>
      <w:r w:rsidRPr="00AF3027">
        <w:rPr>
          <w:rFonts w:ascii="Cambria" w:eastAsia="SimSun" w:hAnsi="Cambria" w:cstheme="majorHAnsi"/>
          <w:b/>
          <w:bCs/>
          <w:szCs w:val="24"/>
          <w:lang w:eastAsia="zh-CN"/>
        </w:rPr>
        <w:t>Invelitoarea</w:t>
      </w:r>
      <w:r w:rsidRPr="00AF3027">
        <w:rPr>
          <w:rFonts w:ascii="Cambria" w:eastAsia="SimSun" w:hAnsi="Cambria" w:cstheme="majorHAnsi"/>
          <w:bCs/>
          <w:szCs w:val="24"/>
          <w:lang w:eastAsia="zh-CN"/>
        </w:rPr>
        <w:t xml:space="preserve"> se va face din </w:t>
      </w:r>
      <w:r w:rsidRPr="00AF3027">
        <w:rPr>
          <w:rFonts w:ascii="Cambria" w:eastAsia="SimSun" w:hAnsi="Cambria" w:cstheme="majorHAnsi"/>
          <w:b/>
          <w:bCs/>
          <w:szCs w:val="24"/>
          <w:lang w:eastAsia="zh-CN"/>
        </w:rPr>
        <w:t>tablă plană dublu fălţuită de culoare gri închis</w:t>
      </w:r>
      <w:r w:rsidRPr="00AF3027">
        <w:rPr>
          <w:rFonts w:ascii="Cambria" w:eastAsia="SimSun" w:hAnsi="Cambria" w:cstheme="majorHAnsi"/>
          <w:bCs/>
          <w:szCs w:val="24"/>
          <w:lang w:eastAsia="zh-CN"/>
        </w:rPr>
        <w:t>. La execuţie se vor utiliza materiale de calitate superioară, utilizând toate accesoriile necesare – aerisitoare, opritori de zăpadă, închideri, borduri - în vederea unei funcţionări optime in timp. Invelitorile din tablă au fiabilitate în timp, costuri reduse de întreţinere, în condiţiile unei execuţii de calitate.</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
          <w:bCs/>
          <w:szCs w:val="24"/>
          <w:lang w:eastAsia="zh-CN"/>
        </w:rPr>
        <w:t>Accesele la mansardă</w:t>
      </w:r>
      <w:r w:rsidRPr="00AF3027">
        <w:rPr>
          <w:rFonts w:ascii="Cambria" w:eastAsia="SimSun" w:hAnsi="Cambria" w:cstheme="majorHAnsi"/>
          <w:bCs/>
          <w:szCs w:val="24"/>
          <w:lang w:eastAsia="zh-CN"/>
        </w:rPr>
        <w:t xml:space="preserve"> se vor realiza prin prelungirea scărilor existente, se vor reliza din beton şi se vor organiza asemenea celor existente. Inchiderile caselor de scară, ţinând cont de cerinţele din punct de vedere al protecţiei şi siguranţei în caz de incendiu, se vor face din zidărie şi placă din beton.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
          <w:bCs/>
          <w:szCs w:val="24"/>
          <w:lang w:eastAsia="zh-CN"/>
        </w:rPr>
        <w:t>Compartimentările</w:t>
      </w:r>
      <w:r w:rsidRPr="00AF3027">
        <w:rPr>
          <w:rFonts w:ascii="Cambria" w:eastAsia="SimSun" w:hAnsi="Cambria" w:cstheme="majorHAnsi"/>
          <w:bCs/>
          <w:szCs w:val="24"/>
          <w:lang w:eastAsia="zh-CN"/>
        </w:rPr>
        <w:t xml:space="preserve"> vor urmării compartimentările etajului I., mai ales în ceea ce priveşte sălile de grupă, sălile de activităţi precum şi grupurile sanitare. Coloanele conductelor de alimentare cu apă, canalizare şi incăzire vor fi aceleasi cu cele de la nivelurile inferioare. In vecinătatea sălii de festivităţi s-a propus un grup sanitar pentru personal şi pentru adulţii care vor veni în cazul organizării de evenimente şi festivităţi.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Sălile de grupă din corpurile 1. şi 3. se propun asemenea celor de la nivelul inferior.</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In corpul 2 se vor amenaja 2 săli de activităţi care se vor putea amenaja şi pentru întruniri ale cadrelor didactice, şedinţe, simpozioane, instruiri, etc.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Spaţiul de deasupra centralei termice se va putea utiliza numai pentri depozitarea de materiale, fără se se utilizeze pentru activităţi.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Ferestrele sunt propuse cu parapet de 0,30 cm pentru a asigura luminozitatea în interiorul spaţiilor. Aceste goluri se vor proteja cu parapet pe exterior şi pe interior. De asemenea în urma unui studiu de luminozitate a spaţiilor se impune suplimentarea ferestrelor cu ferestre de mansardă.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Sera se propune să se amplaseze în partea central-sudică a incintei in partea de curte delimitată de corpurile 1., 2., şi 4 al grădiniţei. In acest caz legăturile la reţelel de alimentare cu apă şi canalizare se vor putea realiza fără cheltuieli suplimentare, aceste reţele fiind pozate în apropierea acestui amplasament.</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Corpul de seră se propune să se realizeze pe o structură tridimensională de formă sferică. Două unităţi sferice cu un corp de legătură între ele, aici fiind şi accesul în spaţiul interior. S-a ales această variantă ţinând cont de grupa de vărstă a copiilor din grădiniţă şi care se doreşte să se educe în spiritul respectului fată de natură, prin activităti concrete de grădinărit, de cultivarea, întreţinerea şi îngrijirea  florilor şi plantelor.</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Structura se va realiza din metal, închiderile se vor realiza din sticlă.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Utilizând elementele aceleiaşi structuri se va realiza şi scena din aer liber, pe un podest înalt de 45 cm din beton, finisat aparent, cu pardoseala din covor-mochetă de exterior.</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p>
    <w:p w:rsidR="00AF3027" w:rsidRPr="00AF3027" w:rsidRDefault="00AF3027" w:rsidP="00AF3027">
      <w:pPr>
        <w:overflowPunct/>
        <w:autoSpaceDE/>
        <w:autoSpaceDN/>
        <w:adjustRightInd/>
        <w:ind w:firstLine="567"/>
        <w:rPr>
          <w:rFonts w:ascii="Cambria" w:eastAsia="SimSun" w:hAnsi="Cambria" w:cstheme="majorHAnsi"/>
          <w:b/>
          <w:bCs/>
          <w:szCs w:val="24"/>
          <w:lang w:eastAsia="zh-CN"/>
        </w:rPr>
      </w:pPr>
      <w:r w:rsidRPr="00AF3027">
        <w:rPr>
          <w:rFonts w:ascii="Cambria" w:eastAsia="SimSun" w:hAnsi="Cambria" w:cstheme="majorHAnsi"/>
          <w:b/>
          <w:bCs/>
          <w:szCs w:val="24"/>
          <w:lang w:eastAsia="zh-CN"/>
        </w:rPr>
        <w:lastRenderedPageBreak/>
        <w:t>Refacerea finisajelor interioare:</w:t>
      </w:r>
    </w:p>
    <w:p w:rsidR="00AF3027" w:rsidRPr="00AF3027" w:rsidRDefault="00AF3027" w:rsidP="00AF3027">
      <w:pPr>
        <w:overflowPunct/>
        <w:autoSpaceDE/>
        <w:autoSpaceDN/>
        <w:adjustRightInd/>
        <w:ind w:firstLine="567"/>
        <w:rPr>
          <w:rFonts w:ascii="Cambria" w:eastAsia="SimSun" w:hAnsi="Cambria" w:cstheme="majorHAnsi"/>
          <w:b/>
          <w:bCs/>
          <w:szCs w:val="24"/>
          <w:lang w:eastAsia="zh-CN"/>
        </w:rPr>
      </w:pPr>
      <w:r w:rsidRPr="00AF3027">
        <w:rPr>
          <w:rFonts w:ascii="Cambria" w:eastAsia="SimSun" w:hAnsi="Cambria" w:cstheme="majorHAnsi"/>
          <w:b/>
          <w:bCs/>
          <w:szCs w:val="24"/>
          <w:lang w:eastAsia="zh-CN"/>
        </w:rPr>
        <w:t>- tencuieli interioare, placari interioare ale pereţilor, zugrăveli, pardoseli,</w:t>
      </w:r>
    </w:p>
    <w:p w:rsidR="00AF3027" w:rsidRPr="00AF3027" w:rsidRDefault="00AF3027" w:rsidP="00AF3027">
      <w:pPr>
        <w:overflowPunct/>
        <w:autoSpaceDE/>
        <w:autoSpaceDN/>
        <w:adjustRightInd/>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In ceea ce priveşte finisajele interioare : </w:t>
      </w:r>
    </w:p>
    <w:p w:rsidR="00AF3027" w:rsidRPr="00AF3027" w:rsidRDefault="00AF3027" w:rsidP="009E5E60">
      <w:pPr>
        <w:numPr>
          <w:ilvl w:val="0"/>
          <w:numId w:val="12"/>
        </w:numPr>
        <w:overflowPunct/>
        <w:autoSpaceDE/>
        <w:autoSpaceDN/>
        <w:adjustRightInd/>
        <w:ind w:left="0" w:firstLine="567"/>
        <w:contextualSpacing/>
        <w:jc w:val="both"/>
        <w:rPr>
          <w:rFonts w:ascii="Cambria" w:eastAsia="SimSun" w:hAnsi="Cambria" w:cstheme="majorHAnsi"/>
          <w:bCs/>
          <w:szCs w:val="24"/>
          <w:lang w:eastAsia="zh-CN"/>
        </w:rPr>
      </w:pPr>
      <w:r w:rsidRPr="00AF3027">
        <w:rPr>
          <w:rFonts w:ascii="Cambria" w:eastAsia="SimSun" w:hAnsi="Cambria" w:cstheme="majorHAnsi"/>
          <w:bCs/>
          <w:szCs w:val="24"/>
          <w:lang w:eastAsia="zh-CN"/>
        </w:rPr>
        <w:t>TENCUIELI INTERIOARE :  se vor executa reparaţiile tencuielilor în zonele degradate cu tencuieli mortar-var-ciment, inclusiv reparaţiile în zonele degradate ale spaleţilor ca urmare a demontării tâmplăriei.</w:t>
      </w:r>
    </w:p>
    <w:p w:rsidR="00AF3027" w:rsidRPr="00AF3027" w:rsidRDefault="00AF3027" w:rsidP="009E5E60">
      <w:pPr>
        <w:numPr>
          <w:ilvl w:val="0"/>
          <w:numId w:val="12"/>
        </w:numPr>
        <w:overflowPunct/>
        <w:autoSpaceDE/>
        <w:autoSpaceDN/>
        <w:adjustRightInd/>
        <w:ind w:left="0" w:firstLine="567"/>
        <w:contextualSpacing/>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PLACĂRI INTERIOARE ALE PEREŢILOR : se vor reface placajele cu plăci ceramice în spaţiile sanitare – grupuri sanitare, în cabinetul medical, în bucătărie şi anexele aferente.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Se vor utiliza plăci de calitate superioară cu rezistenţă mare la acţiuni mecanice, iar la colţuri se vor monta elemente speciale – colţare de aluminiu, destinate finisării de calitate şi cu rezistenţă mare. </w:t>
      </w:r>
    </w:p>
    <w:p w:rsidR="00AF3027" w:rsidRPr="00AF3027" w:rsidRDefault="00AF3027" w:rsidP="009E5E60">
      <w:pPr>
        <w:numPr>
          <w:ilvl w:val="0"/>
          <w:numId w:val="12"/>
        </w:numPr>
        <w:overflowPunct/>
        <w:autoSpaceDE/>
        <w:autoSpaceDN/>
        <w:adjustRightInd/>
        <w:ind w:left="0" w:firstLine="567"/>
        <w:contextualSpacing/>
        <w:jc w:val="both"/>
        <w:rPr>
          <w:rFonts w:ascii="Cambria" w:eastAsia="SimSun" w:hAnsi="Cambria" w:cstheme="majorHAnsi"/>
          <w:bCs/>
          <w:szCs w:val="24"/>
          <w:lang w:eastAsia="zh-CN"/>
        </w:rPr>
      </w:pPr>
      <w:r w:rsidRPr="00AF3027">
        <w:rPr>
          <w:rFonts w:ascii="Cambria" w:eastAsia="SimSun" w:hAnsi="Cambria" w:cstheme="majorHAnsi"/>
          <w:bCs/>
          <w:szCs w:val="24"/>
          <w:lang w:eastAsia="zh-CN"/>
        </w:rPr>
        <w:t>ZUGRĂVELILE INTERIOARE se vor executa cu vopsele lavabile de calitate superioară. Tratarea din punct de vedere coloristic se va face diferenţiat în spaţiile de circulaţie şi în sălile de grupă. In spaţiile de circulaţie – coridoare, casele de scară, holuri se vor utiliza culori calde, deschise (alb, crem, bej deschis) cu accente de culoare mai intense din aceeaşi gamă de culori, dar care să nu depăşească 20-25% din suprafaţa totală a pereţilor.</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Sălile de curs se vor trata în culori deschise – alb, ivoire, crem – accentele de culoare se pot utiliza diferenţiat functie de destinaţia spaţiului.</w:t>
      </w:r>
    </w:p>
    <w:p w:rsidR="00AF3027" w:rsidRPr="00AF3027" w:rsidRDefault="00AF3027" w:rsidP="009E5E60">
      <w:pPr>
        <w:numPr>
          <w:ilvl w:val="0"/>
          <w:numId w:val="12"/>
        </w:numPr>
        <w:overflowPunct/>
        <w:autoSpaceDE/>
        <w:autoSpaceDN/>
        <w:adjustRightInd/>
        <w:ind w:left="0" w:firstLine="567"/>
        <w:contextualSpacing/>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PARDOSELI: se vor reface toate pardoselile din cadrul clădirii. Pardoselile propuse conform planurilor anexate se vor realiza din materiale de calitate superioară pentru a asigura fiabilitatea în timp a acestora, rezistenţa in condiţii de uzură maximă, păstrarea în timp a calităţii acestora.  </w:t>
      </w:r>
    </w:p>
    <w:p w:rsidR="00AF3027" w:rsidRPr="00AF3027" w:rsidRDefault="00AF3027" w:rsidP="009E5E60">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Pardoselile din parchet lamelar din sălile de curs, vor fi pentru “trafic comercial intens”, şi se vor monta utilizând soluţiile complete de montare cu toate accesoriile prevăzute în chitul pentru montare – folie ca barieră de vapori, strat de amortizare zgomot, respectiv plinte, colţari, capete plinte.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Pardoselile în grupuri sanitare, coridoare, holuri, depozite, oficiu, etc.(conform planselor anexate) – se vor realiza  prin placarea cu plăci ceramice montate şi acestea cu toate accesoriile necesare. Placa suport al pardoselilor din spaţiile “umede” în prealabil se va hidroizola.</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Se poate lua în considerare posibilitatea de a utiliza soluţia de pardoseala tip tarket în spatiile de circulaţie: coridoare, holuri cu condiţia alegerii unui material destinat traficului intens.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In zonele în care se constată o denivelare accentuată a pardoselii (cauza fiind cel mai probabil infiltraţiile şi tasările straturilor suport) se vor desface straturile suport ale pardoselii  şi eventual prin sondaj placa slab armată pentru a identifica sursa degradărilor şi amploarea lor.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Datorită faptului că în grădiniţă activitatea zilnică era în plinădesfăşurare, nu s-au făcut aceste sondaje, decizia privind soluţia finală se va putea lua în momentul desfacerii pardoselii şi straturilor de bază a acesteia.</w:t>
      </w:r>
    </w:p>
    <w:p w:rsidR="00AF3027" w:rsidRPr="00AF3027" w:rsidRDefault="00AF3027" w:rsidP="00AF3027">
      <w:pPr>
        <w:overflowPunct/>
        <w:autoSpaceDE/>
        <w:autoSpaceDN/>
        <w:adjustRightInd/>
        <w:ind w:firstLine="567"/>
        <w:rPr>
          <w:rFonts w:ascii="Cambria" w:eastAsia="SimSun" w:hAnsi="Cambria" w:cstheme="majorHAnsi"/>
          <w:b/>
          <w:bCs/>
          <w:szCs w:val="24"/>
          <w:lang w:eastAsia="zh-CN"/>
        </w:rPr>
      </w:pPr>
    </w:p>
    <w:p w:rsidR="00AF3027" w:rsidRPr="00AF3027" w:rsidRDefault="00AF3027" w:rsidP="00AF3027">
      <w:pPr>
        <w:overflowPunct/>
        <w:autoSpaceDE/>
        <w:autoSpaceDN/>
        <w:adjustRightInd/>
        <w:ind w:firstLine="567"/>
        <w:rPr>
          <w:rFonts w:ascii="Cambria" w:eastAsia="SimSun" w:hAnsi="Cambria" w:cstheme="majorHAnsi"/>
          <w:b/>
          <w:bCs/>
          <w:szCs w:val="24"/>
          <w:lang w:eastAsia="zh-CN"/>
        </w:rPr>
      </w:pPr>
      <w:r w:rsidRPr="00AF3027">
        <w:rPr>
          <w:rFonts w:ascii="Cambria" w:eastAsia="SimSun" w:hAnsi="Cambria" w:cstheme="majorHAnsi"/>
          <w:b/>
          <w:bCs/>
          <w:szCs w:val="24"/>
          <w:lang w:eastAsia="zh-CN"/>
        </w:rPr>
        <w:t xml:space="preserve">Refacerea finisajelor exterioare : sistem termoizolant la pereţi, plansee,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Ca urmare a concluziilor auditului energetic se propune realizarea izolării termice exterioare a clădirii. Sistemul de izolare propus se formează din:  </w:t>
      </w:r>
    </w:p>
    <w:p w:rsidR="00AF3027" w:rsidRPr="00AF3027" w:rsidRDefault="00AF3027" w:rsidP="00AF3027">
      <w:pPr>
        <w:numPr>
          <w:ilvl w:val="0"/>
          <w:numId w:val="15"/>
        </w:numPr>
        <w:overflowPunct/>
        <w:autoSpaceDE/>
        <w:autoSpaceDN/>
        <w:adjustRightInd/>
        <w:contextualSpacing/>
        <w:jc w:val="both"/>
        <w:rPr>
          <w:rFonts w:ascii="Cambria" w:eastAsia="SimSun" w:hAnsi="Cambria" w:cstheme="majorHAnsi"/>
          <w:bCs/>
          <w:lang w:eastAsia="zh-CN"/>
        </w:rPr>
      </w:pPr>
      <w:r w:rsidRPr="00AF3027">
        <w:rPr>
          <w:rFonts w:ascii="Cambria" w:eastAsia="SimSun" w:hAnsi="Cambria" w:cstheme="majorHAnsi"/>
          <w:bCs/>
          <w:lang w:eastAsia="zh-CN"/>
        </w:rPr>
        <w:t xml:space="preserve">tencuiala adezivă / strat adeziv mineral sau acrilic, pentru lipirea plăcilor de </w:t>
      </w:r>
    </w:p>
    <w:p w:rsidR="00AF3027" w:rsidRPr="00AF3027" w:rsidRDefault="00AF3027" w:rsidP="00AF3027">
      <w:pPr>
        <w:overflowPunct/>
        <w:autoSpaceDE/>
        <w:autoSpaceDN/>
        <w:adjustRightInd/>
        <w:jc w:val="both"/>
        <w:rPr>
          <w:rFonts w:ascii="Cambria" w:eastAsia="SimSun" w:hAnsi="Cambria" w:cstheme="majorHAnsi"/>
          <w:bCs/>
          <w:szCs w:val="24"/>
          <w:lang w:eastAsia="zh-CN"/>
        </w:rPr>
      </w:pPr>
      <w:r w:rsidRPr="00AF3027">
        <w:rPr>
          <w:rFonts w:ascii="Cambria" w:eastAsia="SimSun" w:hAnsi="Cambria" w:cstheme="majorHAnsi"/>
          <w:bCs/>
          <w:szCs w:val="24"/>
          <w:lang w:eastAsia="zh-CN"/>
        </w:rPr>
        <w:t>polistiren.</w:t>
      </w:r>
    </w:p>
    <w:p w:rsidR="00AF3027" w:rsidRPr="00AF3027" w:rsidRDefault="00AF3027" w:rsidP="00AF3027">
      <w:pPr>
        <w:overflowPunct/>
        <w:autoSpaceDE/>
        <w:autoSpaceDN/>
        <w:adjustRightInd/>
        <w:ind w:left="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2.  plăcile de polistiren expandat de 15 cm grosime.</w:t>
      </w:r>
    </w:p>
    <w:p w:rsidR="00AF3027" w:rsidRPr="00AF3027" w:rsidRDefault="00AF3027" w:rsidP="00AF3027">
      <w:pPr>
        <w:overflowPunct/>
        <w:autoSpaceDE/>
        <w:autoSpaceDN/>
        <w:adjustRightInd/>
        <w:ind w:left="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3.  dibluri rozeta pentru polistiren, pentru ancorarea plăcilor în structură,</w:t>
      </w:r>
    </w:p>
    <w:p w:rsidR="00AF3027" w:rsidRPr="00AF3027" w:rsidRDefault="00AF3027" w:rsidP="00AF3027">
      <w:pPr>
        <w:overflowPunct/>
        <w:autoSpaceDE/>
        <w:autoSpaceDN/>
        <w:adjustRightInd/>
        <w:ind w:left="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4.  tencuiala exterioară care înglobeaza plasa de rezistenţă,</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lastRenderedPageBreak/>
        <w:t>5.  tencuiala decorativa care se aplica peste un grund, ce are rolul de a asigura legătura dintre stratul de tencuiala exterioara armata si tencuiala decorativă.</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În zona soclului se va utiliza polistiren extrudat de 5 cm grosime în acelaşi sistem, finisajul exterior va fi din placaj din plăci din piatră (naturală sau artificială).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Placa planşeului peste etajul I. este acoperit în prezent cu straturile vechi de termo-hidroizolaţie, peste care s-a realizat şarpanta actuală. Această placă se va decoperta de straturile de termo-hidroizolaţie. Se poate lua în considerare şi varianta realizării unui strat de egalizare din beton, dar numai după decopertarea de straturile de hidroizolaţie şi straturile suport ale acestuia.</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Termoizolaţia mansardei se va realiza din vată minerală de 20 cm grosime montat între elementele şarpantei în prealabil ignifugată şi tratată împotriva atacului fungic.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Auditul energetic nu prevede realizarea izolării plăcii de beton peste subsol.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Se recomandă totuşi realizarea termoizolaţiei prin montarea unui strat de termoizolaţie din polistiren expandat de 10 cm grosime pe tavanul subsolului, care se va tencui.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In acest fel se realizează cerinţa consumului specific anual de maxim 80 kWh/m</w:t>
      </w:r>
      <w:r w:rsidRPr="00AF3027">
        <w:rPr>
          <w:rFonts w:ascii="Cambria" w:eastAsia="SimSun" w:hAnsi="Cambria" w:cstheme="majorHAnsi"/>
          <w:bCs/>
          <w:szCs w:val="24"/>
          <w:vertAlign w:val="superscript"/>
          <w:lang w:eastAsia="zh-CN"/>
        </w:rPr>
        <w:t>3</w:t>
      </w:r>
      <w:r w:rsidRPr="00AF3027">
        <w:rPr>
          <w:rFonts w:ascii="Cambria" w:eastAsia="SimSun" w:hAnsi="Cambria" w:cstheme="majorHAnsi"/>
          <w:bCs/>
          <w:szCs w:val="24"/>
          <w:lang w:eastAsia="zh-CN"/>
        </w:rPr>
        <w:t>an.</w:t>
      </w:r>
    </w:p>
    <w:p w:rsidR="00AF3027" w:rsidRPr="00AF3027" w:rsidRDefault="00AF3027" w:rsidP="00AF3027">
      <w:pPr>
        <w:overflowPunct/>
        <w:autoSpaceDE/>
        <w:autoSpaceDN/>
        <w:adjustRightInd/>
        <w:ind w:firstLine="567"/>
        <w:jc w:val="both"/>
        <w:rPr>
          <w:rFonts w:ascii="Cambria" w:eastAsia="SimSun" w:hAnsi="Cambria" w:cstheme="majorHAnsi"/>
          <w:b/>
          <w:bCs/>
          <w:szCs w:val="24"/>
          <w:lang w:eastAsia="zh-CN"/>
        </w:rPr>
      </w:pP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
          <w:bCs/>
          <w:szCs w:val="24"/>
          <w:lang w:eastAsia="zh-CN"/>
        </w:rPr>
        <w:t>Subsolul</w:t>
      </w:r>
      <w:r w:rsidRPr="00AF3027">
        <w:rPr>
          <w:rFonts w:ascii="Cambria" w:eastAsia="SimSun" w:hAnsi="Cambria" w:cstheme="majorHAnsi"/>
          <w:bCs/>
          <w:szCs w:val="24"/>
          <w:lang w:eastAsia="zh-CN"/>
        </w:rPr>
        <w:t xml:space="preserve"> este format din spaţii corespondente ale coridoarelor, cu acces prin scara corpului 4. şi au fost utilizate pentru amplasarea conductelor majore de distribuţie a alimentării cu apă, canalizare respectiv încălzire (de la centrala termică zonală). In cadrul prezentei documentaţii intervenţiile din subsolul clădirii vor fi cele de termoizolare a tavanului cu un strat de polistiren de 10 cm fixat cu dibluri de placa planseului peste subsol, finisat grosier. Nu sunt propuse alte intervenţii.</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p>
    <w:p w:rsidR="00AF3027" w:rsidRPr="00AF3027" w:rsidRDefault="00AF3027" w:rsidP="00AF3027">
      <w:pPr>
        <w:overflowPunct/>
        <w:autoSpaceDE/>
        <w:autoSpaceDN/>
        <w:adjustRightInd/>
        <w:rPr>
          <w:rFonts w:ascii="Cambria" w:eastAsia="SimSun" w:hAnsi="Cambria" w:cstheme="majorHAnsi"/>
          <w:b/>
          <w:bCs/>
          <w:szCs w:val="24"/>
          <w:lang w:eastAsia="zh-CN"/>
        </w:rPr>
      </w:pPr>
      <w:r w:rsidRPr="00AF3027">
        <w:rPr>
          <w:rFonts w:ascii="Cambria" w:eastAsia="SimSun" w:hAnsi="Cambria" w:cstheme="majorHAnsi"/>
          <w:b/>
          <w:bCs/>
          <w:szCs w:val="24"/>
          <w:lang w:eastAsia="zh-CN"/>
        </w:rPr>
        <w:t>Tâmplărie- uşi, glasswanduri - interioare</w:t>
      </w:r>
    </w:p>
    <w:p w:rsidR="00AF3027" w:rsidRPr="00AF3027" w:rsidRDefault="00AF3027" w:rsidP="00AF3027">
      <w:pPr>
        <w:numPr>
          <w:ilvl w:val="0"/>
          <w:numId w:val="12"/>
        </w:numPr>
        <w:overflowPunct/>
        <w:autoSpaceDE/>
        <w:autoSpaceDN/>
        <w:adjustRightInd/>
        <w:ind w:left="0" w:firstLine="567"/>
        <w:contextualSpacing/>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TÂMPLĂRIE INTERIOARĂ : Se vor înlocui uşile interioare precum şi ferestrele–luminator interioare cu tâmplărie din profile pvc, geam termopan dublu strat. Uşile interioare destinate sălilor de clasă şi laboratoarelor vor fi realizate cu ochi de geam în partea superioară. Acestea se vor realiza din profile rezistente şi vor asigura izolare fonică corespunzătoare.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p>
    <w:p w:rsidR="00AF3027" w:rsidRPr="00AF3027" w:rsidRDefault="00AF3027" w:rsidP="00AF3027">
      <w:pPr>
        <w:overflowPunct/>
        <w:autoSpaceDE/>
        <w:autoSpaceDN/>
        <w:adjustRightInd/>
        <w:jc w:val="both"/>
        <w:rPr>
          <w:rFonts w:ascii="Cambria" w:eastAsia="SimSun" w:hAnsi="Cambria" w:cstheme="majorHAnsi"/>
          <w:b/>
          <w:bCs/>
          <w:szCs w:val="24"/>
          <w:lang w:eastAsia="zh-CN"/>
        </w:rPr>
      </w:pPr>
      <w:r w:rsidRPr="00AF3027">
        <w:rPr>
          <w:rFonts w:ascii="Cambria" w:eastAsia="SimSun" w:hAnsi="Cambria" w:cstheme="majorHAnsi"/>
          <w:b/>
          <w:bCs/>
          <w:szCs w:val="24"/>
          <w:lang w:eastAsia="zh-CN"/>
        </w:rPr>
        <w:t xml:space="preserve">Tămplărie exterioară </w:t>
      </w:r>
    </w:p>
    <w:p w:rsidR="00AF3027" w:rsidRPr="00AF3027" w:rsidRDefault="00AF3027" w:rsidP="00AF3027">
      <w:pPr>
        <w:numPr>
          <w:ilvl w:val="0"/>
          <w:numId w:val="14"/>
        </w:numPr>
        <w:overflowPunct/>
        <w:autoSpaceDE/>
        <w:autoSpaceDN/>
        <w:adjustRightInd/>
        <w:ind w:firstLine="567"/>
        <w:contextualSpacing/>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TÂMPLĂRIE EXTERIOARĂ :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
          <w:bCs/>
          <w:i/>
          <w:szCs w:val="24"/>
          <w:lang w:eastAsia="zh-CN"/>
        </w:rPr>
        <w:t>Ferestre :</w:t>
      </w:r>
      <w:r w:rsidRPr="00AF3027">
        <w:rPr>
          <w:rFonts w:ascii="Cambria" w:eastAsia="SimSun" w:hAnsi="Cambria" w:cstheme="majorHAnsi"/>
          <w:bCs/>
          <w:szCs w:val="24"/>
          <w:lang w:eastAsia="zh-CN"/>
        </w:rPr>
        <w:t xml:space="preserve"> se vor înlocui toate ferestrele cu ferestre din profile pvc cu geam triplustrat. La foile de sticlă utilizate se vor prevedea soluţii care să asigure o izolare termică superioară, protecţie solară şi protecţie antiefracţie la ferestrele de la parter (expl.: sticlă LoweE , cu 4 Anotimpuri, tratament antiefracţie, spatiul dintre foile de sticlă umplut cu gaz).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Profilele pvc utilizate vor fi din clasa A cu minim 5 camere, cu armătură din oţel zincat de minim 1,5 mm grosime, finisaj exterior imitaţie de lemn. Baghetele de fixare a geamului vor fi de 16 mm.</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Ferestrele vor fi prevăzute cu glafuri pe interior din pvc şi pe exterior din aluminiu.</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Se propune varianta de protecţie solară a ferestrelor prin montarea de tămplărie cu jaluzele exterioare, variantă care, dacă aceste jaluzele sunt închise, oferă protecţie faţă de actiunile nedorite, dar inestetice pentru o clădire cu această funcţiune.</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
          <w:bCs/>
          <w:i/>
          <w:szCs w:val="24"/>
          <w:lang w:eastAsia="zh-CN"/>
        </w:rPr>
        <w:t>Uşi exterioare</w:t>
      </w:r>
      <w:r w:rsidRPr="00AF3027">
        <w:rPr>
          <w:rFonts w:ascii="Cambria" w:eastAsia="SimSun" w:hAnsi="Cambria" w:cstheme="majorHAnsi"/>
          <w:bCs/>
          <w:szCs w:val="24"/>
          <w:lang w:eastAsia="zh-CN"/>
        </w:rPr>
        <w:t xml:space="preserve"> de acces: Se vor schimba uşile de acces utilizând aceleaşi tipuri de profile ca şi la ferestre. Se va avea în vedere ca atât în cazul uşilor cât şi al ferestrelor să se utilizeze  accesorii – feronerie - de calitate superioară (balamale, dispozitivele de închidere,etc), acestea fiind supuse unei utilizări intense.</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Refacerea în totalitate a instalaţiei electrice interioare, şi în acelasi timp realizarea cablajelor necesare pentru sistemul antiefractie, de avertizare, alarmă avertizare şi supraveghere.</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lastRenderedPageBreak/>
        <w:t>Se propune refacerea sistemului de legare la pământ, şi paratrăsnet.</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Instalaţii electrice exterioare: se va realiza iluminatul incintei, dotată cu automatizare şi senzori în aşa fel încât să se obţină un consum minim de energie electrică. </w:t>
      </w:r>
    </w:p>
    <w:p w:rsidR="00AF3027" w:rsidRPr="00AF3027" w:rsidRDefault="00AF3027" w:rsidP="00AF3027">
      <w:pPr>
        <w:overflowPunct/>
        <w:autoSpaceDE/>
        <w:autoSpaceDN/>
        <w:adjustRightInd/>
        <w:ind w:firstLine="567"/>
        <w:jc w:val="both"/>
        <w:rPr>
          <w:rFonts w:ascii="Cambria" w:eastAsia="SimSun" w:hAnsi="Cambria" w:cstheme="majorHAnsi"/>
          <w:bCs/>
          <w:szCs w:val="24"/>
          <w:lang w:eastAsia="zh-CN"/>
        </w:rPr>
      </w:pPr>
    </w:p>
    <w:p w:rsidR="00AF3027" w:rsidRPr="00AF3027" w:rsidRDefault="00AF3027" w:rsidP="00AF3027">
      <w:pPr>
        <w:overflowPunct/>
        <w:autoSpaceDE/>
        <w:autoSpaceDN/>
        <w:adjustRightInd/>
        <w:rPr>
          <w:rFonts w:ascii="Cambria" w:eastAsia="SimSun" w:hAnsi="Cambria" w:cstheme="majorHAnsi"/>
          <w:bCs/>
          <w:szCs w:val="24"/>
          <w:lang w:eastAsia="zh-CN"/>
        </w:rPr>
      </w:pPr>
      <w:r w:rsidRPr="00AF3027">
        <w:rPr>
          <w:rFonts w:ascii="Cambria" w:eastAsia="SimSun" w:hAnsi="Cambria" w:cstheme="majorHAnsi"/>
          <w:b/>
          <w:bCs/>
          <w:szCs w:val="24"/>
          <w:lang w:eastAsia="zh-CN"/>
        </w:rPr>
        <w:t>Alimentarea cu energie electrica</w:t>
      </w:r>
      <w:r w:rsidRPr="00AF3027">
        <w:rPr>
          <w:rFonts w:ascii="Cambria" w:eastAsia="SimSun" w:hAnsi="Cambria" w:cstheme="majorHAnsi"/>
          <w:bCs/>
          <w:szCs w:val="24"/>
          <w:lang w:eastAsia="zh-CN"/>
        </w:rPr>
        <w:t xml:space="preserve"> a instalalatiilor electrice se va realiza din reteaua de alimentare existenta.</w:t>
      </w:r>
    </w:p>
    <w:p w:rsidR="00AF3027" w:rsidRPr="00AF3027" w:rsidRDefault="00AF3027" w:rsidP="00AF3027">
      <w:pPr>
        <w:overflowPunct/>
        <w:autoSpaceDE/>
        <w:autoSpaceDN/>
        <w:adjustRightInd/>
        <w:ind w:firstLine="567"/>
        <w:rPr>
          <w:rFonts w:ascii="Cambria" w:eastAsia="SimSun" w:hAnsi="Cambria" w:cstheme="majorHAnsi"/>
          <w:bCs/>
          <w:szCs w:val="24"/>
          <w:lang w:eastAsia="zh-CN"/>
        </w:rPr>
      </w:pPr>
      <w:r w:rsidRPr="00AF3027">
        <w:rPr>
          <w:rFonts w:ascii="Cambria" w:eastAsia="SimSun" w:hAnsi="Cambria" w:cstheme="majorHAnsi"/>
          <w:bCs/>
          <w:szCs w:val="24"/>
          <w:lang w:eastAsia="zh-CN"/>
        </w:rPr>
        <w:t>Distribuţia electrica se face prin tablourile:</w:t>
      </w:r>
    </w:p>
    <w:p w:rsidR="00AF3027" w:rsidRPr="00AF3027" w:rsidRDefault="00AF3027" w:rsidP="009E5E60">
      <w:pPr>
        <w:numPr>
          <w:ilvl w:val="0"/>
          <w:numId w:val="13"/>
        </w:numPr>
        <w:tabs>
          <w:tab w:val="clear" w:pos="720"/>
          <w:tab w:val="num" w:pos="0"/>
        </w:tabs>
        <w:overflowPunct/>
        <w:autoSpaceDE/>
        <w:autoSpaceDN/>
        <w:adjustRightInd/>
        <w:ind w:left="0" w:firstLine="567"/>
        <w:rPr>
          <w:rFonts w:ascii="Cambria" w:eastAsia="SimSun" w:hAnsi="Cambria" w:cstheme="majorHAnsi"/>
          <w:bCs/>
          <w:szCs w:val="24"/>
          <w:lang w:eastAsia="zh-CN"/>
        </w:rPr>
      </w:pPr>
      <w:r w:rsidRPr="00AF3027">
        <w:rPr>
          <w:rFonts w:ascii="Cambria" w:eastAsia="SimSun" w:hAnsi="Cambria" w:cstheme="majorHAnsi"/>
          <w:bCs/>
          <w:szCs w:val="24"/>
          <w:lang w:eastAsia="zh-CN"/>
        </w:rPr>
        <w:t xml:space="preserve">TGD amplasat pe hol Parter; </w:t>
      </w:r>
    </w:p>
    <w:p w:rsidR="00AF3027" w:rsidRPr="00AF3027" w:rsidRDefault="00AF3027" w:rsidP="009E5E60">
      <w:pPr>
        <w:numPr>
          <w:ilvl w:val="0"/>
          <w:numId w:val="13"/>
        </w:numPr>
        <w:tabs>
          <w:tab w:val="clear" w:pos="720"/>
          <w:tab w:val="num" w:pos="0"/>
        </w:tabs>
        <w:overflowPunct/>
        <w:autoSpaceDE/>
        <w:autoSpaceDN/>
        <w:adjustRightInd/>
        <w:ind w:left="0" w:firstLine="567"/>
        <w:rPr>
          <w:rFonts w:ascii="Cambria" w:eastAsia="SimSun" w:hAnsi="Cambria" w:cstheme="majorHAnsi"/>
          <w:bCs/>
          <w:szCs w:val="24"/>
          <w:lang w:eastAsia="zh-CN"/>
        </w:rPr>
      </w:pPr>
      <w:r w:rsidRPr="00AF3027">
        <w:rPr>
          <w:rFonts w:ascii="Cambria" w:eastAsia="SimSun" w:hAnsi="Cambria" w:cstheme="majorHAnsi"/>
          <w:bCs/>
          <w:szCs w:val="24"/>
          <w:lang w:eastAsia="zh-CN"/>
        </w:rPr>
        <w:t>TD1 amplasat pe hol Etaj ;</w:t>
      </w:r>
    </w:p>
    <w:p w:rsidR="00AF3027" w:rsidRPr="00AF3027" w:rsidRDefault="00AF3027" w:rsidP="009E5E60">
      <w:pPr>
        <w:numPr>
          <w:ilvl w:val="0"/>
          <w:numId w:val="13"/>
        </w:numPr>
        <w:tabs>
          <w:tab w:val="clear" w:pos="720"/>
          <w:tab w:val="num" w:pos="0"/>
        </w:tabs>
        <w:overflowPunct/>
        <w:autoSpaceDE/>
        <w:autoSpaceDN/>
        <w:adjustRightInd/>
        <w:ind w:left="0" w:firstLine="567"/>
        <w:rPr>
          <w:rFonts w:ascii="Cambria" w:eastAsia="SimSun" w:hAnsi="Cambria" w:cstheme="majorHAnsi"/>
          <w:bCs/>
          <w:szCs w:val="24"/>
          <w:lang w:eastAsia="zh-CN"/>
        </w:rPr>
      </w:pPr>
      <w:r w:rsidRPr="00AF3027">
        <w:rPr>
          <w:rFonts w:ascii="Cambria" w:eastAsia="SimSun" w:hAnsi="Cambria" w:cstheme="majorHAnsi"/>
          <w:bCs/>
          <w:szCs w:val="24"/>
          <w:lang w:eastAsia="zh-CN"/>
        </w:rPr>
        <w:t>TD2 amplasat pe hol Mansarda;</w:t>
      </w:r>
    </w:p>
    <w:p w:rsidR="00AF3027" w:rsidRPr="00AF3027" w:rsidRDefault="00AF3027" w:rsidP="009E5E60">
      <w:pPr>
        <w:numPr>
          <w:ilvl w:val="0"/>
          <w:numId w:val="13"/>
        </w:numPr>
        <w:tabs>
          <w:tab w:val="clear" w:pos="720"/>
          <w:tab w:val="num" w:pos="0"/>
        </w:tabs>
        <w:overflowPunct/>
        <w:autoSpaceDE/>
        <w:autoSpaceDN/>
        <w:adjustRightInd/>
        <w:ind w:left="0" w:firstLine="567"/>
        <w:rPr>
          <w:rFonts w:ascii="Cambria" w:eastAsia="SimSun" w:hAnsi="Cambria" w:cstheme="majorHAnsi"/>
          <w:bCs/>
          <w:szCs w:val="24"/>
          <w:lang w:eastAsia="zh-CN"/>
        </w:rPr>
      </w:pPr>
      <w:r w:rsidRPr="00AF3027">
        <w:rPr>
          <w:rFonts w:ascii="Cambria" w:eastAsia="SimSun" w:hAnsi="Cambria" w:cstheme="majorHAnsi"/>
          <w:bCs/>
          <w:szCs w:val="24"/>
          <w:lang w:eastAsia="zh-CN"/>
        </w:rPr>
        <w:t>TE-CT amplasat in CT.y</w:t>
      </w:r>
    </w:p>
    <w:p w:rsidR="009E5E60" w:rsidRPr="00622A0F" w:rsidRDefault="009E5E60" w:rsidP="009E5E60">
      <w:pPr>
        <w:overflowPunct/>
        <w:autoSpaceDE/>
        <w:autoSpaceDN/>
        <w:adjustRightInd/>
        <w:rPr>
          <w:rFonts w:ascii="Cambria" w:eastAsia="SimSun" w:hAnsi="Cambria" w:cstheme="majorHAnsi"/>
          <w:bCs/>
          <w:szCs w:val="24"/>
          <w:lang w:eastAsia="zh-CN"/>
        </w:rPr>
      </w:pPr>
    </w:p>
    <w:p w:rsidR="00AF3027" w:rsidRPr="00AF3027" w:rsidRDefault="00AF3027" w:rsidP="009E5E60">
      <w:pPr>
        <w:overflowPunct/>
        <w:autoSpaceDE/>
        <w:autoSpaceDN/>
        <w:adjustRightInd/>
        <w:rPr>
          <w:rFonts w:ascii="Cambria" w:eastAsia="SimSun" w:hAnsi="Cambria" w:cstheme="majorHAnsi"/>
          <w:bCs/>
          <w:szCs w:val="24"/>
          <w:lang w:eastAsia="zh-CN"/>
        </w:rPr>
      </w:pPr>
      <w:r w:rsidRPr="00AF3027">
        <w:rPr>
          <w:rFonts w:ascii="Cambria" w:eastAsia="SimSun" w:hAnsi="Cambria" w:cstheme="majorHAnsi"/>
          <w:bCs/>
          <w:szCs w:val="24"/>
          <w:lang w:eastAsia="zh-CN"/>
        </w:rPr>
        <w:t>Butonul pentru STOP URGENTA va fi amplasat in zona TGD.</w:t>
      </w:r>
    </w:p>
    <w:p w:rsidR="00AF3027" w:rsidRPr="00AF3027" w:rsidRDefault="00AF3027" w:rsidP="00AF3027">
      <w:pPr>
        <w:overflowPunct/>
        <w:autoSpaceDE/>
        <w:autoSpaceDN/>
        <w:adjustRightInd/>
        <w:ind w:firstLine="567"/>
        <w:rPr>
          <w:rFonts w:ascii="Cambria" w:eastAsia="SimSun" w:hAnsi="Cambria" w:cstheme="majorHAnsi"/>
          <w:bCs/>
          <w:szCs w:val="24"/>
          <w:lang w:eastAsia="zh-CN"/>
        </w:rPr>
      </w:pPr>
      <w:r w:rsidRPr="00AF3027">
        <w:rPr>
          <w:rFonts w:ascii="Cambria" w:eastAsia="SimSun" w:hAnsi="Cambria" w:cstheme="majorHAnsi"/>
          <w:bCs/>
          <w:szCs w:val="24"/>
          <w:lang w:eastAsia="zh-CN"/>
        </w:rPr>
        <w:t>Instalaţiile electrice sunt alcătuite din:</w:t>
      </w:r>
    </w:p>
    <w:p w:rsidR="00AF3027" w:rsidRPr="00AF3027" w:rsidRDefault="00AF3027" w:rsidP="00AF3027">
      <w:pPr>
        <w:overflowPunct/>
        <w:autoSpaceDE/>
        <w:autoSpaceDN/>
        <w:adjustRightInd/>
        <w:ind w:firstLine="567"/>
        <w:rPr>
          <w:rFonts w:ascii="Cambria" w:eastAsia="SimSun" w:hAnsi="Cambria" w:cstheme="majorHAnsi"/>
          <w:bCs/>
          <w:szCs w:val="24"/>
          <w:lang w:eastAsia="zh-CN"/>
        </w:rPr>
      </w:pPr>
      <w:r w:rsidRPr="00AF3027">
        <w:rPr>
          <w:rFonts w:ascii="Cambria" w:eastAsia="SimSun" w:hAnsi="Cambria" w:cstheme="majorHAnsi"/>
          <w:bCs/>
          <w:szCs w:val="24"/>
          <w:lang w:eastAsia="zh-CN"/>
        </w:rPr>
        <w:t>*circuitele de iluminat si prize Parter,</w:t>
      </w:r>
    </w:p>
    <w:p w:rsidR="00AF3027" w:rsidRPr="00AF3027" w:rsidRDefault="00AF3027" w:rsidP="00AF3027">
      <w:pPr>
        <w:overflowPunct/>
        <w:autoSpaceDE/>
        <w:autoSpaceDN/>
        <w:adjustRightInd/>
        <w:ind w:firstLine="567"/>
        <w:rPr>
          <w:rFonts w:ascii="Cambria" w:eastAsia="SimSun" w:hAnsi="Cambria" w:cstheme="majorHAnsi"/>
          <w:bCs/>
          <w:szCs w:val="24"/>
          <w:lang w:eastAsia="zh-CN"/>
        </w:rPr>
      </w:pPr>
      <w:r w:rsidRPr="00AF3027">
        <w:rPr>
          <w:rFonts w:ascii="Cambria" w:eastAsia="SimSun" w:hAnsi="Cambria" w:cstheme="majorHAnsi"/>
          <w:bCs/>
          <w:szCs w:val="24"/>
          <w:lang w:eastAsia="zh-CN"/>
        </w:rPr>
        <w:t>*circuite de iluminat si prize Etaj,</w:t>
      </w:r>
    </w:p>
    <w:p w:rsidR="00AF3027" w:rsidRPr="00AF3027" w:rsidRDefault="00AF3027" w:rsidP="00AF3027">
      <w:pPr>
        <w:overflowPunct/>
        <w:autoSpaceDE/>
        <w:autoSpaceDN/>
        <w:adjustRightInd/>
        <w:ind w:firstLine="567"/>
        <w:rPr>
          <w:rFonts w:ascii="Cambria" w:eastAsia="SimSun" w:hAnsi="Cambria" w:cstheme="majorHAnsi"/>
          <w:bCs/>
          <w:szCs w:val="24"/>
          <w:lang w:eastAsia="zh-CN"/>
        </w:rPr>
      </w:pPr>
      <w:r w:rsidRPr="00AF3027">
        <w:rPr>
          <w:rFonts w:ascii="Cambria" w:eastAsia="SimSun" w:hAnsi="Cambria" w:cstheme="majorHAnsi"/>
          <w:bCs/>
          <w:szCs w:val="24"/>
          <w:lang w:eastAsia="zh-CN"/>
        </w:rPr>
        <w:t>*circuite de iluminat si prize Mansarda.</w:t>
      </w:r>
    </w:p>
    <w:p w:rsidR="00EB72FD" w:rsidRPr="00622A0F" w:rsidRDefault="00EB72FD" w:rsidP="00EB72FD">
      <w:pPr>
        <w:overflowPunct/>
        <w:autoSpaceDE/>
        <w:autoSpaceDN/>
        <w:adjustRightInd/>
        <w:spacing w:after="200" w:line="276" w:lineRule="auto"/>
        <w:jc w:val="both"/>
        <w:rPr>
          <w:rFonts w:eastAsia="Calibri"/>
        </w:rPr>
      </w:pPr>
      <w:r w:rsidRPr="00622A0F">
        <w:rPr>
          <w:rFonts w:eastAsia="Calibri"/>
        </w:rPr>
        <w:t>În urma executării lucrărilor sus menționate rezultă următorii indici urbanistici:</w:t>
      </w:r>
    </w:p>
    <w:tbl>
      <w:tblPr>
        <w:tblW w:w="9654" w:type="dxa"/>
        <w:tblInd w:w="93" w:type="dxa"/>
        <w:tblLook w:val="04A0" w:firstRow="1" w:lastRow="0" w:firstColumn="1" w:lastColumn="0" w:noHBand="0" w:noVBand="1"/>
      </w:tblPr>
      <w:tblGrid>
        <w:gridCol w:w="580"/>
        <w:gridCol w:w="4822"/>
        <w:gridCol w:w="1160"/>
        <w:gridCol w:w="1000"/>
        <w:gridCol w:w="1120"/>
        <w:gridCol w:w="972"/>
      </w:tblGrid>
      <w:tr w:rsidR="00610AF3" w:rsidRPr="00622A0F" w:rsidTr="006021CC">
        <w:trPr>
          <w:trHeight w:val="3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w:t>
            </w:r>
          </w:p>
        </w:tc>
        <w:tc>
          <w:tcPr>
            <w:tcW w:w="9074" w:type="dxa"/>
            <w:gridSpan w:val="5"/>
            <w:tcBorders>
              <w:top w:val="single" w:sz="4" w:space="0" w:color="auto"/>
              <w:left w:val="nil"/>
              <w:bottom w:val="single" w:sz="4" w:space="0" w:color="auto"/>
              <w:right w:val="single" w:sz="4" w:space="0" w:color="000000"/>
            </w:tcBorders>
            <w:shd w:val="clear" w:color="000000" w:fill="F2F2F2"/>
            <w:noWrap/>
            <w:vAlign w:val="center"/>
            <w:hideMark/>
          </w:tcPr>
          <w:p w:rsidR="00610AF3" w:rsidRPr="00622A0F" w:rsidRDefault="00610AF3" w:rsidP="00610AF3">
            <w:pPr>
              <w:jc w:val="both"/>
              <w:rPr>
                <w:bCs/>
                <w:kern w:val="20"/>
                <w:szCs w:val="24"/>
              </w:rPr>
            </w:pPr>
            <w:r w:rsidRPr="00622A0F">
              <w:rPr>
                <w:bCs/>
                <w:kern w:val="20"/>
                <w:szCs w:val="24"/>
              </w:rPr>
              <w:t>SUPRAFETE EXTERIOARE -  TEREN  SPORT, PAVAJE, LOCURI DE JOACA</w:t>
            </w:r>
          </w:p>
        </w:tc>
      </w:tr>
      <w:tr w:rsidR="00610AF3" w:rsidRPr="00622A0F" w:rsidTr="006021C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w:t>
            </w:r>
          </w:p>
        </w:tc>
        <w:tc>
          <w:tcPr>
            <w:tcW w:w="4822"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bCs/>
                <w:kern w:val="20"/>
                <w:szCs w:val="24"/>
              </w:rPr>
            </w:pPr>
            <w:r w:rsidRPr="00622A0F">
              <w:rPr>
                <w:bCs/>
                <w:kern w:val="20"/>
                <w:szCs w:val="24"/>
              </w:rPr>
              <w:t> </w:t>
            </w:r>
          </w:p>
        </w:tc>
        <w:tc>
          <w:tcPr>
            <w:tcW w:w="21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10AF3" w:rsidRPr="00622A0F" w:rsidRDefault="00610AF3" w:rsidP="00610AF3">
            <w:pPr>
              <w:jc w:val="both"/>
              <w:rPr>
                <w:bCs/>
                <w:kern w:val="20"/>
                <w:szCs w:val="24"/>
              </w:rPr>
            </w:pPr>
            <w:r w:rsidRPr="00622A0F">
              <w:rPr>
                <w:bCs/>
                <w:kern w:val="20"/>
                <w:szCs w:val="24"/>
              </w:rPr>
              <w:t>EXISTENT (mp)</w:t>
            </w:r>
          </w:p>
        </w:tc>
        <w:tc>
          <w:tcPr>
            <w:tcW w:w="20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10AF3" w:rsidRPr="00622A0F" w:rsidRDefault="00610AF3" w:rsidP="00610AF3">
            <w:pPr>
              <w:jc w:val="both"/>
              <w:rPr>
                <w:bCs/>
                <w:kern w:val="20"/>
                <w:szCs w:val="24"/>
              </w:rPr>
            </w:pPr>
            <w:r w:rsidRPr="00622A0F">
              <w:rPr>
                <w:bCs/>
                <w:kern w:val="20"/>
                <w:szCs w:val="24"/>
              </w:rPr>
              <w:t>PROPUS(mp)</w:t>
            </w:r>
          </w:p>
        </w:tc>
      </w:tr>
      <w:tr w:rsidR="00610AF3" w:rsidRPr="00622A0F" w:rsidTr="006021C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1.</w:t>
            </w:r>
          </w:p>
        </w:tc>
        <w:tc>
          <w:tcPr>
            <w:tcW w:w="4822"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PLATFORME, PAVAJE</w:t>
            </w:r>
          </w:p>
        </w:tc>
        <w:tc>
          <w:tcPr>
            <w:tcW w:w="21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863,00</w:t>
            </w:r>
          </w:p>
        </w:tc>
        <w:tc>
          <w:tcPr>
            <w:tcW w:w="20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1.171,00</w:t>
            </w:r>
          </w:p>
        </w:tc>
      </w:tr>
      <w:tr w:rsidR="00610AF3" w:rsidRPr="00622A0F" w:rsidTr="006021C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2.</w:t>
            </w:r>
          </w:p>
        </w:tc>
        <w:tc>
          <w:tcPr>
            <w:tcW w:w="4822"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LOCURI DE JOACA - nisip, supraf. Elastic</w:t>
            </w:r>
          </w:p>
        </w:tc>
        <w:tc>
          <w:tcPr>
            <w:tcW w:w="21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313,00</w:t>
            </w:r>
          </w:p>
        </w:tc>
        <w:tc>
          <w:tcPr>
            <w:tcW w:w="20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313,00</w:t>
            </w:r>
          </w:p>
        </w:tc>
      </w:tr>
      <w:tr w:rsidR="00610AF3" w:rsidRPr="00622A0F" w:rsidTr="006021C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3.</w:t>
            </w:r>
          </w:p>
        </w:tc>
        <w:tc>
          <w:tcPr>
            <w:tcW w:w="4822"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TEREN DE SPORT</w:t>
            </w:r>
          </w:p>
        </w:tc>
        <w:tc>
          <w:tcPr>
            <w:tcW w:w="21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263,00</w:t>
            </w:r>
          </w:p>
        </w:tc>
        <w:tc>
          <w:tcPr>
            <w:tcW w:w="20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263,00</w:t>
            </w:r>
          </w:p>
        </w:tc>
      </w:tr>
      <w:tr w:rsidR="00610AF3" w:rsidRPr="00622A0F" w:rsidTr="006021C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w:t>
            </w:r>
          </w:p>
        </w:tc>
        <w:tc>
          <w:tcPr>
            <w:tcW w:w="4822"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Total (1+3)</w:t>
            </w:r>
          </w:p>
        </w:tc>
        <w:tc>
          <w:tcPr>
            <w:tcW w:w="21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1.126,00</w:t>
            </w:r>
          </w:p>
        </w:tc>
        <w:tc>
          <w:tcPr>
            <w:tcW w:w="20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1.434,00</w:t>
            </w:r>
          </w:p>
        </w:tc>
      </w:tr>
      <w:tr w:rsidR="00610AF3" w:rsidRPr="00622A0F" w:rsidTr="006021C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w:t>
            </w:r>
          </w:p>
        </w:tc>
        <w:tc>
          <w:tcPr>
            <w:tcW w:w="4822"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TOTAL</w:t>
            </w:r>
          </w:p>
        </w:tc>
        <w:tc>
          <w:tcPr>
            <w:tcW w:w="21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1.439,00</w:t>
            </w:r>
          </w:p>
        </w:tc>
        <w:tc>
          <w:tcPr>
            <w:tcW w:w="20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1.747,00</w:t>
            </w:r>
          </w:p>
        </w:tc>
      </w:tr>
      <w:tr w:rsidR="00610AF3" w:rsidRPr="00622A0F" w:rsidTr="006021CC">
        <w:trPr>
          <w:trHeight w:val="109"/>
        </w:trPr>
        <w:tc>
          <w:tcPr>
            <w:tcW w:w="580" w:type="dxa"/>
            <w:tcBorders>
              <w:top w:val="nil"/>
              <w:left w:val="single" w:sz="4" w:space="0" w:color="auto"/>
              <w:bottom w:val="nil"/>
              <w:right w:val="nil"/>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w:t>
            </w:r>
          </w:p>
        </w:tc>
        <w:tc>
          <w:tcPr>
            <w:tcW w:w="4822" w:type="dxa"/>
            <w:tcBorders>
              <w:top w:val="nil"/>
              <w:left w:val="nil"/>
              <w:bottom w:val="nil"/>
              <w:right w:val="nil"/>
            </w:tcBorders>
            <w:shd w:val="clear" w:color="auto" w:fill="auto"/>
            <w:noWrap/>
            <w:vAlign w:val="center"/>
            <w:hideMark/>
          </w:tcPr>
          <w:p w:rsidR="00610AF3" w:rsidRPr="00622A0F" w:rsidRDefault="00610AF3" w:rsidP="00610AF3">
            <w:pPr>
              <w:jc w:val="both"/>
              <w:rPr>
                <w:kern w:val="20"/>
                <w:szCs w:val="24"/>
              </w:rPr>
            </w:pPr>
          </w:p>
        </w:tc>
        <w:tc>
          <w:tcPr>
            <w:tcW w:w="1160" w:type="dxa"/>
            <w:tcBorders>
              <w:top w:val="nil"/>
              <w:left w:val="nil"/>
              <w:bottom w:val="nil"/>
              <w:right w:val="nil"/>
            </w:tcBorders>
            <w:shd w:val="clear" w:color="auto" w:fill="auto"/>
            <w:noWrap/>
            <w:vAlign w:val="center"/>
            <w:hideMark/>
          </w:tcPr>
          <w:p w:rsidR="00610AF3" w:rsidRPr="00622A0F" w:rsidRDefault="00610AF3" w:rsidP="00610AF3">
            <w:pPr>
              <w:jc w:val="both"/>
              <w:rPr>
                <w:kern w:val="20"/>
                <w:szCs w:val="24"/>
              </w:rPr>
            </w:pPr>
          </w:p>
        </w:tc>
        <w:tc>
          <w:tcPr>
            <w:tcW w:w="1000" w:type="dxa"/>
            <w:tcBorders>
              <w:top w:val="nil"/>
              <w:left w:val="nil"/>
              <w:bottom w:val="single" w:sz="4" w:space="0" w:color="auto"/>
              <w:right w:val="nil"/>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w:t>
            </w:r>
          </w:p>
        </w:tc>
        <w:tc>
          <w:tcPr>
            <w:tcW w:w="1120" w:type="dxa"/>
            <w:tcBorders>
              <w:top w:val="nil"/>
              <w:left w:val="nil"/>
              <w:bottom w:val="nil"/>
              <w:right w:val="nil"/>
            </w:tcBorders>
            <w:shd w:val="clear" w:color="auto" w:fill="auto"/>
            <w:noWrap/>
            <w:vAlign w:val="center"/>
            <w:hideMark/>
          </w:tcPr>
          <w:p w:rsidR="00610AF3" w:rsidRPr="00622A0F" w:rsidRDefault="00610AF3" w:rsidP="00610AF3">
            <w:pPr>
              <w:jc w:val="both"/>
              <w:rPr>
                <w:kern w:val="20"/>
                <w:szCs w:val="24"/>
              </w:rPr>
            </w:pPr>
          </w:p>
        </w:tc>
        <w:tc>
          <w:tcPr>
            <w:tcW w:w="972" w:type="dxa"/>
            <w:tcBorders>
              <w:top w:val="nil"/>
              <w:left w:val="nil"/>
              <w:bottom w:val="single" w:sz="4" w:space="0" w:color="auto"/>
              <w:right w:val="single" w:sz="4" w:space="0" w:color="auto"/>
            </w:tcBorders>
            <w:shd w:val="clear" w:color="auto" w:fill="auto"/>
            <w:noWrap/>
            <w:vAlign w:val="bottom"/>
            <w:hideMark/>
          </w:tcPr>
          <w:p w:rsidR="00610AF3" w:rsidRPr="00622A0F" w:rsidRDefault="00610AF3" w:rsidP="00610AF3">
            <w:pPr>
              <w:jc w:val="both"/>
              <w:rPr>
                <w:kern w:val="20"/>
                <w:szCs w:val="24"/>
              </w:rPr>
            </w:pPr>
            <w:r w:rsidRPr="00622A0F">
              <w:rPr>
                <w:kern w:val="20"/>
                <w:szCs w:val="24"/>
              </w:rPr>
              <w:t> </w:t>
            </w:r>
          </w:p>
        </w:tc>
      </w:tr>
      <w:tr w:rsidR="00610AF3" w:rsidRPr="00622A0F" w:rsidTr="006021CC">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10AF3" w:rsidRPr="00622A0F" w:rsidRDefault="00610AF3" w:rsidP="00610AF3">
            <w:pPr>
              <w:jc w:val="both"/>
              <w:rPr>
                <w:bCs/>
                <w:kern w:val="20"/>
                <w:szCs w:val="24"/>
              </w:rPr>
            </w:pPr>
            <w:r w:rsidRPr="00622A0F">
              <w:rPr>
                <w:bCs/>
                <w:kern w:val="20"/>
                <w:szCs w:val="24"/>
              </w:rPr>
              <w:t xml:space="preserve">               </w:t>
            </w:r>
          </w:p>
        </w:tc>
        <w:tc>
          <w:tcPr>
            <w:tcW w:w="4822" w:type="dxa"/>
            <w:tcBorders>
              <w:top w:val="single" w:sz="4" w:space="0" w:color="auto"/>
              <w:left w:val="nil"/>
              <w:bottom w:val="single" w:sz="4" w:space="0" w:color="auto"/>
              <w:right w:val="single" w:sz="4" w:space="0" w:color="auto"/>
            </w:tcBorders>
            <w:shd w:val="clear" w:color="000000" w:fill="F2F2F2"/>
            <w:noWrap/>
            <w:vAlign w:val="center"/>
            <w:hideMark/>
          </w:tcPr>
          <w:p w:rsidR="00610AF3" w:rsidRPr="00622A0F" w:rsidRDefault="00610AF3" w:rsidP="00610AF3">
            <w:pPr>
              <w:jc w:val="both"/>
              <w:rPr>
                <w:bCs/>
                <w:kern w:val="20"/>
                <w:szCs w:val="24"/>
              </w:rPr>
            </w:pPr>
            <w:r w:rsidRPr="00622A0F">
              <w:rPr>
                <w:bCs/>
                <w:kern w:val="20"/>
                <w:szCs w:val="24"/>
              </w:rPr>
              <w:t xml:space="preserve"> INDICI DE OCUPARE TEREN</w:t>
            </w:r>
          </w:p>
        </w:tc>
        <w:tc>
          <w:tcPr>
            <w:tcW w:w="1160" w:type="dxa"/>
            <w:tcBorders>
              <w:top w:val="single" w:sz="4" w:space="0" w:color="auto"/>
              <w:left w:val="nil"/>
              <w:bottom w:val="single" w:sz="4" w:space="0" w:color="auto"/>
              <w:right w:val="single" w:sz="4" w:space="0" w:color="auto"/>
            </w:tcBorders>
            <w:shd w:val="clear" w:color="000000" w:fill="F2F2F2"/>
            <w:noWrap/>
            <w:vAlign w:val="center"/>
            <w:hideMark/>
          </w:tcPr>
          <w:p w:rsidR="00610AF3" w:rsidRPr="00622A0F" w:rsidRDefault="00610AF3" w:rsidP="00610AF3">
            <w:pPr>
              <w:jc w:val="both"/>
              <w:rPr>
                <w:kern w:val="20"/>
                <w:szCs w:val="24"/>
              </w:rPr>
            </w:pPr>
            <w:r w:rsidRPr="00622A0F">
              <w:rPr>
                <w:kern w:val="20"/>
                <w:szCs w:val="24"/>
              </w:rPr>
              <w:t>mp</w:t>
            </w:r>
          </w:p>
        </w:tc>
        <w:tc>
          <w:tcPr>
            <w:tcW w:w="1000" w:type="dxa"/>
            <w:tcBorders>
              <w:top w:val="nil"/>
              <w:left w:val="nil"/>
              <w:bottom w:val="single" w:sz="4" w:space="0" w:color="auto"/>
              <w:right w:val="single" w:sz="4" w:space="0" w:color="auto"/>
            </w:tcBorders>
            <w:shd w:val="clear" w:color="000000" w:fill="F2F2F2"/>
            <w:noWrap/>
            <w:vAlign w:val="center"/>
            <w:hideMark/>
          </w:tcPr>
          <w:p w:rsidR="00610AF3" w:rsidRPr="00622A0F" w:rsidRDefault="00610AF3" w:rsidP="00610AF3">
            <w:pPr>
              <w:jc w:val="both"/>
              <w:rPr>
                <w:kern w:val="20"/>
                <w:szCs w:val="24"/>
              </w:rPr>
            </w:pPr>
            <w:r w:rsidRPr="00622A0F">
              <w:rPr>
                <w:kern w:val="20"/>
                <w:szCs w:val="24"/>
              </w:rPr>
              <w:t>%</w:t>
            </w:r>
          </w:p>
        </w:tc>
        <w:tc>
          <w:tcPr>
            <w:tcW w:w="1120" w:type="dxa"/>
            <w:tcBorders>
              <w:top w:val="single" w:sz="4" w:space="0" w:color="auto"/>
              <w:left w:val="nil"/>
              <w:bottom w:val="single" w:sz="4" w:space="0" w:color="auto"/>
              <w:right w:val="nil"/>
            </w:tcBorders>
            <w:shd w:val="clear" w:color="000000" w:fill="F2F2F2"/>
            <w:noWrap/>
            <w:vAlign w:val="center"/>
            <w:hideMark/>
          </w:tcPr>
          <w:p w:rsidR="00610AF3" w:rsidRPr="00622A0F" w:rsidRDefault="00610AF3" w:rsidP="00610AF3">
            <w:pPr>
              <w:jc w:val="both"/>
              <w:rPr>
                <w:kern w:val="20"/>
                <w:szCs w:val="24"/>
              </w:rPr>
            </w:pPr>
            <w:r w:rsidRPr="00622A0F">
              <w:rPr>
                <w:kern w:val="20"/>
                <w:szCs w:val="24"/>
              </w:rPr>
              <w:t>mp</w:t>
            </w:r>
          </w:p>
        </w:tc>
        <w:tc>
          <w:tcPr>
            <w:tcW w:w="972" w:type="dxa"/>
            <w:tcBorders>
              <w:top w:val="nil"/>
              <w:left w:val="single" w:sz="4" w:space="0" w:color="auto"/>
              <w:bottom w:val="single" w:sz="4" w:space="0" w:color="auto"/>
              <w:right w:val="single" w:sz="4" w:space="0" w:color="auto"/>
            </w:tcBorders>
            <w:shd w:val="clear" w:color="000000" w:fill="F2F2F2"/>
            <w:noWrap/>
            <w:vAlign w:val="bottom"/>
            <w:hideMark/>
          </w:tcPr>
          <w:p w:rsidR="00610AF3" w:rsidRPr="00622A0F" w:rsidRDefault="00610AF3" w:rsidP="00610AF3">
            <w:pPr>
              <w:jc w:val="both"/>
              <w:rPr>
                <w:kern w:val="20"/>
                <w:szCs w:val="24"/>
              </w:rPr>
            </w:pPr>
            <w:r w:rsidRPr="00622A0F">
              <w:rPr>
                <w:kern w:val="20"/>
                <w:szCs w:val="24"/>
              </w:rPr>
              <w:t>%</w:t>
            </w:r>
          </w:p>
        </w:tc>
      </w:tr>
      <w:tr w:rsidR="00610AF3" w:rsidRPr="00622A0F" w:rsidTr="006021C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w:t>
            </w:r>
          </w:p>
        </w:tc>
        <w:tc>
          <w:tcPr>
            <w:tcW w:w="4822"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SUPRAFATA TOTALA TEREN GRADINITA</w:t>
            </w:r>
          </w:p>
        </w:tc>
        <w:tc>
          <w:tcPr>
            <w:tcW w:w="1160"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5.733,00</w:t>
            </w:r>
          </w:p>
        </w:tc>
        <w:tc>
          <w:tcPr>
            <w:tcW w:w="1000"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100,00</w:t>
            </w:r>
          </w:p>
        </w:tc>
        <w:tc>
          <w:tcPr>
            <w:tcW w:w="1120" w:type="dxa"/>
            <w:tcBorders>
              <w:top w:val="nil"/>
              <w:left w:val="nil"/>
              <w:bottom w:val="single" w:sz="4" w:space="0" w:color="auto"/>
              <w:right w:val="nil"/>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5.733,00</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610AF3" w:rsidRPr="00622A0F" w:rsidRDefault="00610AF3" w:rsidP="00610AF3">
            <w:pPr>
              <w:jc w:val="both"/>
              <w:rPr>
                <w:kern w:val="20"/>
                <w:szCs w:val="24"/>
              </w:rPr>
            </w:pPr>
            <w:r w:rsidRPr="00622A0F">
              <w:rPr>
                <w:kern w:val="20"/>
                <w:szCs w:val="24"/>
              </w:rPr>
              <w:t>100,00</w:t>
            </w:r>
          </w:p>
        </w:tc>
      </w:tr>
      <w:tr w:rsidR="00610AF3" w:rsidRPr="00622A0F" w:rsidTr="006021C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w:t>
            </w:r>
          </w:p>
        </w:tc>
        <w:tc>
          <w:tcPr>
            <w:tcW w:w="4822"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din care</w:t>
            </w:r>
          </w:p>
        </w:tc>
        <w:tc>
          <w:tcPr>
            <w:tcW w:w="1160"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w:t>
            </w:r>
          </w:p>
        </w:tc>
        <w:tc>
          <w:tcPr>
            <w:tcW w:w="1000"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w:t>
            </w:r>
          </w:p>
        </w:tc>
        <w:tc>
          <w:tcPr>
            <w:tcW w:w="1120" w:type="dxa"/>
            <w:tcBorders>
              <w:top w:val="nil"/>
              <w:left w:val="nil"/>
              <w:bottom w:val="single" w:sz="4" w:space="0" w:color="auto"/>
              <w:right w:val="nil"/>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610AF3" w:rsidRPr="00622A0F" w:rsidRDefault="00610AF3" w:rsidP="00610AF3">
            <w:pPr>
              <w:jc w:val="both"/>
              <w:rPr>
                <w:kern w:val="20"/>
                <w:szCs w:val="24"/>
              </w:rPr>
            </w:pPr>
            <w:r w:rsidRPr="00622A0F">
              <w:rPr>
                <w:kern w:val="20"/>
                <w:szCs w:val="24"/>
              </w:rPr>
              <w:t> </w:t>
            </w:r>
          </w:p>
        </w:tc>
      </w:tr>
      <w:tr w:rsidR="00610AF3" w:rsidRPr="00622A0F" w:rsidTr="006021C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w:t>
            </w:r>
          </w:p>
        </w:tc>
        <w:tc>
          <w:tcPr>
            <w:tcW w:w="4822"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SUPRAFATA AFERENTA CONSTRUCTIILOR</w:t>
            </w:r>
          </w:p>
        </w:tc>
        <w:tc>
          <w:tcPr>
            <w:tcW w:w="1160"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960,00</w:t>
            </w:r>
          </w:p>
        </w:tc>
        <w:tc>
          <w:tcPr>
            <w:tcW w:w="1000"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16,75</w:t>
            </w:r>
          </w:p>
        </w:tc>
        <w:tc>
          <w:tcPr>
            <w:tcW w:w="1120" w:type="dxa"/>
            <w:tcBorders>
              <w:top w:val="nil"/>
              <w:left w:val="nil"/>
              <w:bottom w:val="single" w:sz="4" w:space="0" w:color="auto"/>
              <w:right w:val="nil"/>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960,00</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610AF3" w:rsidRPr="00622A0F" w:rsidRDefault="00610AF3" w:rsidP="00610AF3">
            <w:pPr>
              <w:jc w:val="both"/>
              <w:rPr>
                <w:kern w:val="20"/>
                <w:szCs w:val="24"/>
              </w:rPr>
            </w:pPr>
            <w:r w:rsidRPr="00622A0F">
              <w:rPr>
                <w:kern w:val="20"/>
                <w:szCs w:val="24"/>
              </w:rPr>
              <w:t>16,75</w:t>
            </w:r>
          </w:p>
        </w:tc>
      </w:tr>
      <w:tr w:rsidR="00610AF3" w:rsidRPr="00622A0F" w:rsidTr="006021C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w:t>
            </w:r>
          </w:p>
        </w:tc>
        <w:tc>
          <w:tcPr>
            <w:tcW w:w="4822"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xml:space="preserve">SUPRAFATA CIRCULATII ,PLATFORME </w:t>
            </w:r>
          </w:p>
        </w:tc>
        <w:tc>
          <w:tcPr>
            <w:tcW w:w="1160"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1.126,00</w:t>
            </w:r>
          </w:p>
        </w:tc>
        <w:tc>
          <w:tcPr>
            <w:tcW w:w="1000"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19,64</w:t>
            </w:r>
          </w:p>
        </w:tc>
        <w:tc>
          <w:tcPr>
            <w:tcW w:w="1120" w:type="dxa"/>
            <w:tcBorders>
              <w:top w:val="nil"/>
              <w:left w:val="nil"/>
              <w:bottom w:val="single" w:sz="4" w:space="0" w:color="auto"/>
              <w:right w:val="nil"/>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1.434,00</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610AF3" w:rsidRPr="00622A0F" w:rsidRDefault="00610AF3" w:rsidP="00610AF3">
            <w:pPr>
              <w:jc w:val="both"/>
              <w:rPr>
                <w:kern w:val="20"/>
                <w:szCs w:val="24"/>
              </w:rPr>
            </w:pPr>
            <w:r w:rsidRPr="00622A0F">
              <w:rPr>
                <w:kern w:val="20"/>
                <w:szCs w:val="24"/>
              </w:rPr>
              <w:t>25,00</w:t>
            </w:r>
          </w:p>
        </w:tc>
      </w:tr>
      <w:tr w:rsidR="00610AF3" w:rsidRPr="00622A0F" w:rsidTr="006021C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w:t>
            </w:r>
          </w:p>
        </w:tc>
        <w:tc>
          <w:tcPr>
            <w:tcW w:w="4822"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SUPRAFATA SPATII VERZI</w:t>
            </w:r>
          </w:p>
        </w:tc>
        <w:tc>
          <w:tcPr>
            <w:tcW w:w="1160"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3.647,00</w:t>
            </w:r>
          </w:p>
        </w:tc>
        <w:tc>
          <w:tcPr>
            <w:tcW w:w="1000"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63,61</w:t>
            </w:r>
          </w:p>
        </w:tc>
        <w:tc>
          <w:tcPr>
            <w:tcW w:w="1120" w:type="dxa"/>
            <w:tcBorders>
              <w:top w:val="nil"/>
              <w:left w:val="nil"/>
              <w:bottom w:val="single" w:sz="4" w:space="0" w:color="auto"/>
              <w:right w:val="nil"/>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3.368,25</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610AF3" w:rsidRPr="00622A0F" w:rsidRDefault="00610AF3" w:rsidP="00610AF3">
            <w:pPr>
              <w:jc w:val="both"/>
              <w:rPr>
                <w:kern w:val="20"/>
                <w:szCs w:val="24"/>
              </w:rPr>
            </w:pPr>
            <w:r w:rsidRPr="00622A0F">
              <w:rPr>
                <w:kern w:val="20"/>
                <w:szCs w:val="24"/>
              </w:rPr>
              <w:t>58,25</w:t>
            </w:r>
          </w:p>
        </w:tc>
      </w:tr>
      <w:tr w:rsidR="00610AF3" w:rsidRPr="00622A0F" w:rsidTr="006021C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w:t>
            </w:r>
          </w:p>
        </w:tc>
        <w:tc>
          <w:tcPr>
            <w:tcW w:w="4822"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p>
        </w:tc>
        <w:tc>
          <w:tcPr>
            <w:tcW w:w="1160"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w:t>
            </w:r>
          </w:p>
        </w:tc>
        <w:tc>
          <w:tcPr>
            <w:tcW w:w="1000"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w:t>
            </w:r>
          </w:p>
        </w:tc>
        <w:tc>
          <w:tcPr>
            <w:tcW w:w="1120" w:type="dxa"/>
            <w:tcBorders>
              <w:top w:val="nil"/>
              <w:left w:val="nil"/>
              <w:bottom w:val="single" w:sz="4" w:space="0" w:color="auto"/>
              <w:right w:val="nil"/>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610AF3" w:rsidRPr="00622A0F" w:rsidRDefault="00610AF3" w:rsidP="00610AF3">
            <w:pPr>
              <w:jc w:val="both"/>
              <w:rPr>
                <w:kern w:val="20"/>
                <w:szCs w:val="24"/>
              </w:rPr>
            </w:pPr>
            <w:r w:rsidRPr="00622A0F">
              <w:rPr>
                <w:kern w:val="20"/>
                <w:szCs w:val="24"/>
              </w:rPr>
              <w:t> </w:t>
            </w:r>
          </w:p>
        </w:tc>
      </w:tr>
      <w:tr w:rsidR="00610AF3" w:rsidRPr="00622A0F" w:rsidTr="006021C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xml:space="preserve">                      </w:t>
            </w:r>
          </w:p>
        </w:tc>
        <w:tc>
          <w:tcPr>
            <w:tcW w:w="4822"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SUPRAFATA DESFASURATA</w:t>
            </w:r>
          </w:p>
          <w:p w:rsidR="00610AF3" w:rsidRPr="00622A0F" w:rsidRDefault="00AD4E25" w:rsidP="00AD4E25">
            <w:pPr>
              <w:jc w:val="both"/>
              <w:rPr>
                <w:kern w:val="20"/>
                <w:szCs w:val="24"/>
              </w:rPr>
            </w:pPr>
            <w:r w:rsidRPr="00622A0F">
              <w:rPr>
                <w:kern w:val="20"/>
                <w:szCs w:val="24"/>
              </w:rPr>
              <w:t xml:space="preserve">Cu subsol </w:t>
            </w:r>
            <w:r w:rsidR="00610AF3" w:rsidRPr="00622A0F">
              <w:rPr>
                <w:kern w:val="20"/>
                <w:szCs w:val="24"/>
              </w:rPr>
              <w:t>t</w:t>
            </w:r>
            <w:r w:rsidRPr="00622A0F">
              <w:rPr>
                <w:kern w:val="20"/>
                <w:szCs w:val="24"/>
              </w:rPr>
              <w:t>e</w:t>
            </w:r>
            <w:r w:rsidR="00610AF3" w:rsidRPr="00622A0F">
              <w:rPr>
                <w:kern w:val="20"/>
                <w:szCs w:val="24"/>
              </w:rPr>
              <w:t>hnic</w:t>
            </w:r>
          </w:p>
        </w:tc>
        <w:tc>
          <w:tcPr>
            <w:tcW w:w="1160"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1.890,85</w:t>
            </w:r>
          </w:p>
          <w:p w:rsidR="00610AF3" w:rsidRPr="00622A0F" w:rsidRDefault="00610AF3" w:rsidP="00610AF3">
            <w:pPr>
              <w:jc w:val="both"/>
              <w:rPr>
                <w:b/>
                <w:kern w:val="20"/>
                <w:szCs w:val="24"/>
              </w:rPr>
            </w:pPr>
            <w:r w:rsidRPr="00622A0F">
              <w:rPr>
                <w:b/>
                <w:kern w:val="20"/>
                <w:szCs w:val="24"/>
              </w:rPr>
              <w:t>2.138,65</w:t>
            </w:r>
          </w:p>
        </w:tc>
        <w:tc>
          <w:tcPr>
            <w:tcW w:w="1000" w:type="dxa"/>
            <w:tcBorders>
              <w:top w:val="nil"/>
              <w:left w:val="nil"/>
              <w:bottom w:val="single" w:sz="4" w:space="0" w:color="auto"/>
              <w:right w:val="single" w:sz="4" w:space="0" w:color="auto"/>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 </w:t>
            </w:r>
          </w:p>
        </w:tc>
        <w:tc>
          <w:tcPr>
            <w:tcW w:w="1120" w:type="dxa"/>
            <w:tcBorders>
              <w:top w:val="nil"/>
              <w:left w:val="nil"/>
              <w:bottom w:val="single" w:sz="4" w:space="0" w:color="auto"/>
              <w:right w:val="nil"/>
            </w:tcBorders>
            <w:shd w:val="clear" w:color="auto" w:fill="auto"/>
            <w:noWrap/>
            <w:vAlign w:val="center"/>
            <w:hideMark/>
          </w:tcPr>
          <w:p w:rsidR="00610AF3" w:rsidRPr="00622A0F" w:rsidRDefault="00610AF3" w:rsidP="00610AF3">
            <w:pPr>
              <w:jc w:val="both"/>
              <w:rPr>
                <w:kern w:val="20"/>
                <w:szCs w:val="24"/>
              </w:rPr>
            </w:pPr>
            <w:r w:rsidRPr="00622A0F">
              <w:rPr>
                <w:kern w:val="20"/>
                <w:szCs w:val="24"/>
              </w:rPr>
              <w:t>2.821,70</w:t>
            </w:r>
          </w:p>
          <w:p w:rsidR="00610AF3" w:rsidRPr="00622A0F" w:rsidRDefault="00610AF3" w:rsidP="00610AF3">
            <w:pPr>
              <w:jc w:val="both"/>
              <w:rPr>
                <w:b/>
                <w:kern w:val="20"/>
                <w:szCs w:val="24"/>
              </w:rPr>
            </w:pPr>
            <w:r w:rsidRPr="00622A0F">
              <w:rPr>
                <w:b/>
                <w:kern w:val="20"/>
                <w:szCs w:val="24"/>
              </w:rPr>
              <w:t>3.069,50</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610AF3" w:rsidRPr="00622A0F" w:rsidRDefault="00610AF3" w:rsidP="00610AF3">
            <w:pPr>
              <w:jc w:val="both"/>
              <w:rPr>
                <w:kern w:val="20"/>
                <w:szCs w:val="24"/>
              </w:rPr>
            </w:pPr>
            <w:r w:rsidRPr="00622A0F">
              <w:rPr>
                <w:kern w:val="20"/>
                <w:szCs w:val="24"/>
              </w:rPr>
              <w:t> </w:t>
            </w:r>
          </w:p>
        </w:tc>
      </w:tr>
    </w:tbl>
    <w:p w:rsidR="00EB72FD" w:rsidRPr="00622A0F" w:rsidRDefault="00EB72FD" w:rsidP="00794DE3">
      <w:pPr>
        <w:jc w:val="both"/>
        <w:rPr>
          <w:b/>
          <w:kern w:val="20"/>
          <w:szCs w:val="24"/>
        </w:rPr>
      </w:pPr>
    </w:p>
    <w:p w:rsidR="00794DE3" w:rsidRPr="00622A0F" w:rsidRDefault="00794DE3" w:rsidP="00794DE3">
      <w:pPr>
        <w:jc w:val="both"/>
        <w:rPr>
          <w:szCs w:val="24"/>
        </w:rPr>
      </w:pPr>
      <w:r w:rsidRPr="00622A0F">
        <w:rPr>
          <w:b/>
          <w:kern w:val="20"/>
          <w:szCs w:val="24"/>
        </w:rPr>
        <w:t>Finanţarea obiectivului:</w:t>
      </w:r>
      <w:r w:rsidRPr="00622A0F">
        <w:rPr>
          <w:kern w:val="20"/>
          <w:szCs w:val="24"/>
        </w:rPr>
        <w:t xml:space="preserve"> </w:t>
      </w:r>
      <w:r w:rsidR="00E40AA1" w:rsidRPr="00622A0F">
        <w:rPr>
          <w:szCs w:val="24"/>
        </w:rPr>
        <w:t>POR 2014-2020</w:t>
      </w:r>
      <w:r w:rsidR="006F047A" w:rsidRPr="00622A0F">
        <w:rPr>
          <w:szCs w:val="24"/>
        </w:rPr>
        <w:t xml:space="preserve"> / Buget local</w:t>
      </w:r>
    </w:p>
    <w:p w:rsidR="00794DE3" w:rsidRPr="00622A0F" w:rsidRDefault="00794DE3" w:rsidP="00794DE3">
      <w:pPr>
        <w:rPr>
          <w:color w:val="FF0000"/>
          <w:kern w:val="20"/>
          <w:sz w:val="28"/>
          <w:szCs w:val="28"/>
        </w:rPr>
      </w:pPr>
    </w:p>
    <w:p w:rsidR="006F047A" w:rsidRPr="00622A0F" w:rsidRDefault="006F047A" w:rsidP="00794DE3">
      <w:pPr>
        <w:rPr>
          <w:color w:val="FF0000"/>
          <w:kern w:val="20"/>
          <w:sz w:val="28"/>
          <w:szCs w:val="28"/>
        </w:rPr>
      </w:pPr>
    </w:p>
    <w:p w:rsidR="00794DE3" w:rsidRPr="00622A0F" w:rsidRDefault="00687D25" w:rsidP="00E40AA1">
      <w:pPr>
        <w:ind w:left="1416"/>
        <w:jc w:val="both"/>
        <w:rPr>
          <w:kern w:val="20"/>
          <w:szCs w:val="24"/>
        </w:rPr>
      </w:pPr>
      <w:r w:rsidRPr="00622A0F">
        <w:rPr>
          <w:kern w:val="20"/>
          <w:szCs w:val="24"/>
        </w:rPr>
        <w:t>Primar,</w:t>
      </w:r>
      <w:r w:rsidRPr="00622A0F">
        <w:rPr>
          <w:kern w:val="20"/>
          <w:szCs w:val="24"/>
        </w:rPr>
        <w:tab/>
      </w:r>
      <w:r w:rsidRPr="00622A0F">
        <w:rPr>
          <w:kern w:val="20"/>
          <w:szCs w:val="24"/>
        </w:rPr>
        <w:tab/>
      </w:r>
      <w:r w:rsidRPr="00622A0F">
        <w:rPr>
          <w:kern w:val="20"/>
          <w:szCs w:val="24"/>
        </w:rPr>
        <w:tab/>
      </w:r>
      <w:r w:rsidR="00664C61" w:rsidRPr="00622A0F">
        <w:rPr>
          <w:kern w:val="20"/>
          <w:szCs w:val="24"/>
        </w:rPr>
        <w:t xml:space="preserve">Şef </w:t>
      </w:r>
      <w:r w:rsidR="00E40AA1" w:rsidRPr="00622A0F">
        <w:rPr>
          <w:kern w:val="20"/>
          <w:szCs w:val="24"/>
        </w:rPr>
        <w:t>Birou Consultanță Tehnică și Supervizare Lucrări</w:t>
      </w:r>
      <w:r w:rsidR="00BB14B4" w:rsidRPr="00622A0F">
        <w:rPr>
          <w:kern w:val="20"/>
          <w:szCs w:val="24"/>
        </w:rPr>
        <w:t>,</w:t>
      </w:r>
    </w:p>
    <w:p w:rsidR="00687D25" w:rsidRPr="00622A0F" w:rsidRDefault="00E40AA1" w:rsidP="00E40AA1">
      <w:pPr>
        <w:jc w:val="both"/>
      </w:pPr>
      <w:r w:rsidRPr="00622A0F">
        <w:rPr>
          <w:kern w:val="20"/>
          <w:szCs w:val="24"/>
        </w:rPr>
        <w:tab/>
      </w:r>
      <w:r w:rsidR="00BB14B4" w:rsidRPr="00622A0F">
        <w:rPr>
          <w:kern w:val="20"/>
          <w:szCs w:val="24"/>
        </w:rPr>
        <w:t xml:space="preserve"> </w:t>
      </w:r>
      <w:r w:rsidR="00EC6A16" w:rsidRPr="00622A0F">
        <w:rPr>
          <w:szCs w:val="24"/>
        </w:rPr>
        <w:t>Kereskényi Gábor</w:t>
      </w:r>
      <w:r w:rsidR="00EC6A16" w:rsidRPr="00622A0F">
        <w:rPr>
          <w:kern w:val="20"/>
          <w:szCs w:val="24"/>
        </w:rPr>
        <w:tab/>
      </w:r>
      <w:r w:rsidR="00BB14B4" w:rsidRPr="00622A0F">
        <w:rPr>
          <w:kern w:val="20"/>
          <w:szCs w:val="24"/>
        </w:rPr>
        <w:tab/>
      </w:r>
      <w:r w:rsidR="00BB14B4" w:rsidRPr="00622A0F">
        <w:rPr>
          <w:kern w:val="20"/>
          <w:szCs w:val="24"/>
        </w:rPr>
        <w:tab/>
      </w:r>
      <w:r w:rsidR="00687D25" w:rsidRPr="00622A0F">
        <w:rPr>
          <w:kern w:val="20"/>
          <w:szCs w:val="24"/>
        </w:rPr>
        <w:tab/>
      </w:r>
      <w:r w:rsidR="00794DE3" w:rsidRPr="00622A0F">
        <w:rPr>
          <w:kern w:val="20"/>
          <w:szCs w:val="24"/>
        </w:rPr>
        <w:t xml:space="preserve">ing. </w:t>
      </w:r>
      <w:r w:rsidR="00692A06" w:rsidRPr="00622A0F">
        <w:rPr>
          <w:kern w:val="20"/>
          <w:szCs w:val="24"/>
        </w:rPr>
        <w:t>Criste Florin Călin</w:t>
      </w:r>
    </w:p>
    <w:p w:rsidR="00687D25" w:rsidRPr="00622A0F" w:rsidRDefault="00687D25" w:rsidP="00794DE3"/>
    <w:p w:rsidR="00687D25" w:rsidRDefault="00687D25" w:rsidP="00794DE3"/>
    <w:p w:rsidR="00A9396D" w:rsidRDefault="00A9396D" w:rsidP="00794DE3"/>
    <w:p w:rsidR="00A9396D" w:rsidRDefault="00A9396D" w:rsidP="00794DE3">
      <w:r>
        <w:t>Președinte de ședință                                                                                         Secretar</w:t>
      </w:r>
    </w:p>
    <w:p w:rsidR="00A9396D" w:rsidRPr="00622A0F" w:rsidRDefault="00A9396D" w:rsidP="00794DE3">
      <w:r>
        <w:t>Crăciun Ciprian Dumitru                                                                       Mihaela Maria R</w:t>
      </w:r>
      <w:bookmarkStart w:id="0" w:name="_GoBack"/>
      <w:bookmarkEnd w:id="0"/>
      <w:r>
        <w:t>acolța</w:t>
      </w:r>
    </w:p>
    <w:sectPr w:rsidR="00A9396D" w:rsidRPr="00622A0F" w:rsidSect="00F510DB">
      <w:footerReference w:type="default" r:id="rId8"/>
      <w:pgSz w:w="11906" w:h="16838"/>
      <w:pgMar w:top="85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088" w:rsidRDefault="00827088" w:rsidP="00A9396D">
      <w:r>
        <w:separator/>
      </w:r>
    </w:p>
  </w:endnote>
  <w:endnote w:type="continuationSeparator" w:id="0">
    <w:p w:rsidR="00827088" w:rsidRDefault="00827088" w:rsidP="00A9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20002A87"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711384"/>
      <w:docPartObj>
        <w:docPartGallery w:val="Page Numbers (Bottom of Page)"/>
        <w:docPartUnique/>
      </w:docPartObj>
    </w:sdtPr>
    <w:sdtEndPr>
      <w:rPr>
        <w:noProof/>
      </w:rPr>
    </w:sdtEndPr>
    <w:sdtContent>
      <w:p w:rsidR="00A9396D" w:rsidRDefault="00A939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9396D" w:rsidRDefault="00A93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088" w:rsidRDefault="00827088" w:rsidP="00A9396D">
      <w:r>
        <w:separator/>
      </w:r>
    </w:p>
  </w:footnote>
  <w:footnote w:type="continuationSeparator" w:id="0">
    <w:p w:rsidR="00827088" w:rsidRDefault="00827088" w:rsidP="00A93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Arial" w:hint="default"/>
        <w:sz w:val="24"/>
      </w:rPr>
    </w:lvl>
    <w:lvl w:ilvl="1">
      <w:start w:val="1"/>
      <w:numFmt w:val="bullet"/>
      <w:lvlText w:val=""/>
      <w:lvlJc w:val="left"/>
      <w:pPr>
        <w:tabs>
          <w:tab w:val="num" w:pos="1080"/>
        </w:tabs>
        <w:ind w:left="1080" w:hanging="360"/>
      </w:pPr>
      <w:rPr>
        <w:rFonts w:ascii="Symbol" w:hAnsi="Symbol" w:cs="Arial" w:hint="default"/>
        <w:sz w:val="24"/>
      </w:rPr>
    </w:lvl>
    <w:lvl w:ilvl="2">
      <w:start w:val="1"/>
      <w:numFmt w:val="bullet"/>
      <w:lvlText w:val=""/>
      <w:lvlJc w:val="left"/>
      <w:pPr>
        <w:tabs>
          <w:tab w:val="num" w:pos="1440"/>
        </w:tabs>
        <w:ind w:left="1440" w:hanging="360"/>
      </w:pPr>
      <w:rPr>
        <w:rFonts w:ascii="Symbol" w:hAnsi="Symbol" w:cs="Arial" w:hint="default"/>
        <w:sz w:val="24"/>
      </w:rPr>
    </w:lvl>
    <w:lvl w:ilvl="3">
      <w:start w:val="1"/>
      <w:numFmt w:val="bullet"/>
      <w:lvlText w:val=""/>
      <w:lvlJc w:val="left"/>
      <w:pPr>
        <w:tabs>
          <w:tab w:val="num" w:pos="1800"/>
        </w:tabs>
        <w:ind w:left="1800" w:hanging="360"/>
      </w:pPr>
      <w:rPr>
        <w:rFonts w:ascii="Symbol" w:hAnsi="Symbol" w:cs="Arial" w:hint="default"/>
        <w:sz w:val="24"/>
      </w:rPr>
    </w:lvl>
    <w:lvl w:ilvl="4">
      <w:start w:val="1"/>
      <w:numFmt w:val="bullet"/>
      <w:lvlText w:val=""/>
      <w:lvlJc w:val="left"/>
      <w:pPr>
        <w:tabs>
          <w:tab w:val="num" w:pos="2160"/>
        </w:tabs>
        <w:ind w:left="2160" w:hanging="360"/>
      </w:pPr>
      <w:rPr>
        <w:rFonts w:ascii="Symbol" w:hAnsi="Symbol" w:cs="Arial" w:hint="default"/>
        <w:sz w:val="24"/>
      </w:rPr>
    </w:lvl>
    <w:lvl w:ilvl="5">
      <w:start w:val="1"/>
      <w:numFmt w:val="bullet"/>
      <w:lvlText w:val=""/>
      <w:lvlJc w:val="left"/>
      <w:pPr>
        <w:tabs>
          <w:tab w:val="num" w:pos="2520"/>
        </w:tabs>
        <w:ind w:left="2520" w:hanging="360"/>
      </w:pPr>
      <w:rPr>
        <w:rFonts w:ascii="Symbol" w:hAnsi="Symbol" w:cs="Arial" w:hint="default"/>
        <w:sz w:val="24"/>
      </w:rPr>
    </w:lvl>
    <w:lvl w:ilvl="6">
      <w:start w:val="1"/>
      <w:numFmt w:val="bullet"/>
      <w:lvlText w:val=""/>
      <w:lvlJc w:val="left"/>
      <w:pPr>
        <w:tabs>
          <w:tab w:val="num" w:pos="2880"/>
        </w:tabs>
        <w:ind w:left="2880" w:hanging="360"/>
      </w:pPr>
      <w:rPr>
        <w:rFonts w:ascii="Symbol" w:hAnsi="Symbol" w:cs="Arial" w:hint="default"/>
        <w:sz w:val="24"/>
      </w:rPr>
    </w:lvl>
    <w:lvl w:ilvl="7">
      <w:start w:val="1"/>
      <w:numFmt w:val="bullet"/>
      <w:lvlText w:val=""/>
      <w:lvlJc w:val="left"/>
      <w:pPr>
        <w:tabs>
          <w:tab w:val="num" w:pos="3240"/>
        </w:tabs>
        <w:ind w:left="3240" w:hanging="360"/>
      </w:pPr>
      <w:rPr>
        <w:rFonts w:ascii="Symbol" w:hAnsi="Symbol" w:cs="Arial" w:hint="default"/>
        <w:sz w:val="24"/>
      </w:rPr>
    </w:lvl>
    <w:lvl w:ilvl="8">
      <w:start w:val="1"/>
      <w:numFmt w:val="bullet"/>
      <w:lvlText w:val=""/>
      <w:lvlJc w:val="left"/>
      <w:pPr>
        <w:tabs>
          <w:tab w:val="num" w:pos="3600"/>
        </w:tabs>
        <w:ind w:left="3600" w:hanging="360"/>
      </w:pPr>
      <w:rPr>
        <w:rFonts w:ascii="Symbol" w:hAnsi="Symbol" w:cs="Arial" w:hint="default"/>
        <w:sz w:val="24"/>
      </w:rPr>
    </w:lvl>
  </w:abstractNum>
  <w:abstractNum w:abstractNumId="1" w15:restartNumberingAfterBreak="0">
    <w:nsid w:val="00BB36ED"/>
    <w:multiLevelType w:val="hybridMultilevel"/>
    <w:tmpl w:val="65B085B6"/>
    <w:lvl w:ilvl="0" w:tplc="681461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5D1805"/>
    <w:multiLevelType w:val="hybridMultilevel"/>
    <w:tmpl w:val="84786570"/>
    <w:lvl w:ilvl="0" w:tplc="CB9A47EC">
      <w:numFmt w:val="bullet"/>
      <w:lvlText w:val="-"/>
      <w:lvlJc w:val="left"/>
      <w:pPr>
        <w:ind w:left="51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120208AF"/>
    <w:multiLevelType w:val="hybridMultilevel"/>
    <w:tmpl w:val="B99059E6"/>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1C40A4F"/>
    <w:multiLevelType w:val="hybridMultilevel"/>
    <w:tmpl w:val="4A32C0A0"/>
    <w:lvl w:ilvl="0" w:tplc="774638D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1815F1D"/>
    <w:multiLevelType w:val="hybridMultilevel"/>
    <w:tmpl w:val="B8588746"/>
    <w:lvl w:ilvl="0" w:tplc="A25C344C">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8A0B32"/>
    <w:multiLevelType w:val="hybridMultilevel"/>
    <w:tmpl w:val="ED3E2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91ED0"/>
    <w:multiLevelType w:val="hybridMultilevel"/>
    <w:tmpl w:val="A2EA8E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2C64494"/>
    <w:multiLevelType w:val="hybridMultilevel"/>
    <w:tmpl w:val="68E8FBB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7DE339C"/>
    <w:multiLevelType w:val="hybridMultilevel"/>
    <w:tmpl w:val="48EE2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4870B4"/>
    <w:multiLevelType w:val="hybridMultilevel"/>
    <w:tmpl w:val="59D0F9AE"/>
    <w:lvl w:ilvl="0" w:tplc="36B89BFC">
      <w:start w:val="1"/>
      <w:numFmt w:val="decimal"/>
      <w:lvlText w:val="%1."/>
      <w:lvlJc w:val="left"/>
      <w:pPr>
        <w:tabs>
          <w:tab w:val="num" w:pos="720"/>
        </w:tabs>
        <w:ind w:left="720" w:hanging="360"/>
      </w:pPr>
      <w:rPr>
        <w:b/>
      </w:rPr>
    </w:lvl>
    <w:lvl w:ilvl="1" w:tplc="5E6002F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6814102"/>
    <w:multiLevelType w:val="hybridMultilevel"/>
    <w:tmpl w:val="748E025E"/>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84C7EED"/>
    <w:multiLevelType w:val="hybridMultilevel"/>
    <w:tmpl w:val="1A0A7AC6"/>
    <w:lvl w:ilvl="0" w:tplc="A57ACD8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BF845E2"/>
    <w:multiLevelType w:val="hybridMultilevel"/>
    <w:tmpl w:val="5D54F67A"/>
    <w:lvl w:ilvl="0" w:tplc="A1781232">
      <w:start w:val="3"/>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12"/>
  </w:num>
  <w:num w:numId="6">
    <w:abstractNumId w:val="3"/>
  </w:num>
  <w:num w:numId="7">
    <w:abstractNumId w:val="13"/>
  </w:num>
  <w:num w:numId="8">
    <w:abstractNumId w:val="14"/>
  </w:num>
  <w:num w:numId="9">
    <w:abstractNumId w:val="6"/>
  </w:num>
  <w:num w:numId="10">
    <w:abstractNumId w:val="9"/>
  </w:num>
  <w:num w:numId="11">
    <w:abstractNumId w:val="8"/>
  </w:num>
  <w:num w:numId="12">
    <w:abstractNumId w:val="7"/>
  </w:num>
  <w:num w:numId="13">
    <w:abstractNumId w:val="0"/>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E3"/>
    <w:rsid w:val="00006480"/>
    <w:rsid w:val="000412F6"/>
    <w:rsid w:val="00044491"/>
    <w:rsid w:val="0004719E"/>
    <w:rsid w:val="000504E5"/>
    <w:rsid w:val="00053F88"/>
    <w:rsid w:val="00067647"/>
    <w:rsid w:val="00071415"/>
    <w:rsid w:val="000D1461"/>
    <w:rsid w:val="001165EA"/>
    <w:rsid w:val="001647C7"/>
    <w:rsid w:val="00196DB0"/>
    <w:rsid w:val="001A3E72"/>
    <w:rsid w:val="001C2DDF"/>
    <w:rsid w:val="001E2CD2"/>
    <w:rsid w:val="001E41AD"/>
    <w:rsid w:val="001F1300"/>
    <w:rsid w:val="001F5BA3"/>
    <w:rsid w:val="001F7037"/>
    <w:rsid w:val="002A62F7"/>
    <w:rsid w:val="002B0BEE"/>
    <w:rsid w:val="002B5EA2"/>
    <w:rsid w:val="002C501A"/>
    <w:rsid w:val="002C5CBE"/>
    <w:rsid w:val="003225F3"/>
    <w:rsid w:val="00331DB6"/>
    <w:rsid w:val="00380258"/>
    <w:rsid w:val="0039495B"/>
    <w:rsid w:val="003B2B3E"/>
    <w:rsid w:val="003B2C7C"/>
    <w:rsid w:val="003C2AC2"/>
    <w:rsid w:val="004324A1"/>
    <w:rsid w:val="00476F81"/>
    <w:rsid w:val="004B227F"/>
    <w:rsid w:val="004D0483"/>
    <w:rsid w:val="004D3D2D"/>
    <w:rsid w:val="004D4131"/>
    <w:rsid w:val="004F0B71"/>
    <w:rsid w:val="005477A8"/>
    <w:rsid w:val="005F6EB4"/>
    <w:rsid w:val="00610AF3"/>
    <w:rsid w:val="00622A0F"/>
    <w:rsid w:val="00661ECE"/>
    <w:rsid w:val="00664C61"/>
    <w:rsid w:val="00687D25"/>
    <w:rsid w:val="00692A06"/>
    <w:rsid w:val="006952B6"/>
    <w:rsid w:val="006F047A"/>
    <w:rsid w:val="006F7B5B"/>
    <w:rsid w:val="00733898"/>
    <w:rsid w:val="00751316"/>
    <w:rsid w:val="007722B1"/>
    <w:rsid w:val="00794DE3"/>
    <w:rsid w:val="007A6321"/>
    <w:rsid w:val="007E055E"/>
    <w:rsid w:val="007F530F"/>
    <w:rsid w:val="00827088"/>
    <w:rsid w:val="00891EBC"/>
    <w:rsid w:val="008E233E"/>
    <w:rsid w:val="008F6A8B"/>
    <w:rsid w:val="00904026"/>
    <w:rsid w:val="009054DF"/>
    <w:rsid w:val="00936668"/>
    <w:rsid w:val="009453D9"/>
    <w:rsid w:val="0098205B"/>
    <w:rsid w:val="00982571"/>
    <w:rsid w:val="00983D10"/>
    <w:rsid w:val="009917FB"/>
    <w:rsid w:val="009B152A"/>
    <w:rsid w:val="009E5E60"/>
    <w:rsid w:val="00A555EE"/>
    <w:rsid w:val="00A61233"/>
    <w:rsid w:val="00A81F7E"/>
    <w:rsid w:val="00A9396D"/>
    <w:rsid w:val="00AD4E25"/>
    <w:rsid w:val="00AF3027"/>
    <w:rsid w:val="00B055E8"/>
    <w:rsid w:val="00B47A20"/>
    <w:rsid w:val="00BB14B4"/>
    <w:rsid w:val="00BD0425"/>
    <w:rsid w:val="00BE43C4"/>
    <w:rsid w:val="00C14836"/>
    <w:rsid w:val="00C20808"/>
    <w:rsid w:val="00CA791B"/>
    <w:rsid w:val="00CB4CF8"/>
    <w:rsid w:val="00CD7663"/>
    <w:rsid w:val="00D07932"/>
    <w:rsid w:val="00D25F2D"/>
    <w:rsid w:val="00D34D11"/>
    <w:rsid w:val="00D36670"/>
    <w:rsid w:val="00DC5EC8"/>
    <w:rsid w:val="00DF2499"/>
    <w:rsid w:val="00E0652B"/>
    <w:rsid w:val="00E40AA1"/>
    <w:rsid w:val="00E6005F"/>
    <w:rsid w:val="00E86266"/>
    <w:rsid w:val="00E90C6A"/>
    <w:rsid w:val="00EB72FD"/>
    <w:rsid w:val="00EC5619"/>
    <w:rsid w:val="00EC6761"/>
    <w:rsid w:val="00EC6A16"/>
    <w:rsid w:val="00EE2993"/>
    <w:rsid w:val="00F01F8E"/>
    <w:rsid w:val="00F40F46"/>
    <w:rsid w:val="00F510DB"/>
    <w:rsid w:val="00F720B6"/>
    <w:rsid w:val="00FE1050"/>
    <w:rsid w:val="00FF298F"/>
    <w:rsid w:val="00FF3C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5013"/>
  <w15:docId w15:val="{958F5512-F87F-4B70-A8A7-890230D5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DE3"/>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Akapit z listą BS,Outlines a.b.c.,List_Paragraph,Multilevel para_II,Akapit z lista BS"/>
    <w:basedOn w:val="Normal"/>
    <w:link w:val="ListParagraphChar"/>
    <w:qFormat/>
    <w:rsid w:val="006F7B5B"/>
    <w:pPr>
      <w:ind w:left="720"/>
      <w:contextualSpacing/>
    </w:pPr>
  </w:style>
  <w:style w:type="paragraph" w:styleId="BalloonText">
    <w:name w:val="Balloon Text"/>
    <w:basedOn w:val="Normal"/>
    <w:link w:val="BalloonTextChar"/>
    <w:uiPriority w:val="99"/>
    <w:semiHidden/>
    <w:unhideWhenUsed/>
    <w:rsid w:val="00D34D11"/>
    <w:rPr>
      <w:rFonts w:ascii="Tahoma" w:hAnsi="Tahoma" w:cs="Tahoma"/>
      <w:sz w:val="16"/>
      <w:szCs w:val="16"/>
    </w:rPr>
  </w:style>
  <w:style w:type="character" w:customStyle="1" w:styleId="BalloonTextChar">
    <w:name w:val="Balloon Text Char"/>
    <w:basedOn w:val="DefaultParagraphFont"/>
    <w:link w:val="BalloonText"/>
    <w:uiPriority w:val="99"/>
    <w:semiHidden/>
    <w:rsid w:val="00D34D11"/>
    <w:rPr>
      <w:rFonts w:ascii="Tahoma" w:eastAsia="Times New Roman" w:hAnsi="Tahoma" w:cs="Tahoma"/>
      <w:sz w:val="16"/>
      <w:szCs w:val="16"/>
      <w:lang w:eastAsia="ro-RO"/>
    </w:rPr>
  </w:style>
  <w:style w:type="character" w:customStyle="1" w:styleId="ListParagraphChar">
    <w:name w:val="List Paragraph Char"/>
    <w:aliases w:val="Normal bullet 2 Char,Akapit z listą BS Char,Outlines a.b.c. Char,List_Paragraph Char,Multilevel para_II Char,Akapit z lista BS Char"/>
    <w:link w:val="ListParagraph"/>
    <w:locked/>
    <w:rsid w:val="004F0B71"/>
    <w:rPr>
      <w:rFonts w:ascii="Times New Roman" w:eastAsia="Times New Roman" w:hAnsi="Times New Roman" w:cs="Times New Roman"/>
      <w:sz w:val="24"/>
      <w:szCs w:val="20"/>
      <w:lang w:eastAsia="ro-RO"/>
    </w:rPr>
  </w:style>
  <w:style w:type="paragraph" w:styleId="NoSpacing">
    <w:name w:val="No Spacing"/>
    <w:uiPriority w:val="1"/>
    <w:qFormat/>
    <w:rsid w:val="00D25F2D"/>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paragraph" w:customStyle="1" w:styleId="Default">
    <w:name w:val="Default"/>
    <w:rsid w:val="00EB72FD"/>
    <w:pPr>
      <w:autoSpaceDE w:val="0"/>
      <w:autoSpaceDN w:val="0"/>
      <w:adjustRightInd w:val="0"/>
      <w:spacing w:after="0" w:line="240" w:lineRule="auto"/>
    </w:pPr>
    <w:rPr>
      <w:rFonts w:ascii="Cambria" w:hAnsi="Cambria" w:cs="Cambria"/>
      <w:color w:val="000000"/>
      <w:sz w:val="24"/>
      <w:szCs w:val="24"/>
      <w:lang w:val="en-US"/>
    </w:rPr>
  </w:style>
  <w:style w:type="paragraph" w:styleId="Header">
    <w:name w:val="header"/>
    <w:basedOn w:val="Normal"/>
    <w:link w:val="HeaderChar"/>
    <w:uiPriority w:val="99"/>
    <w:unhideWhenUsed/>
    <w:rsid w:val="00A9396D"/>
    <w:pPr>
      <w:tabs>
        <w:tab w:val="center" w:pos="4680"/>
        <w:tab w:val="right" w:pos="9360"/>
      </w:tabs>
    </w:pPr>
  </w:style>
  <w:style w:type="character" w:customStyle="1" w:styleId="HeaderChar">
    <w:name w:val="Header Char"/>
    <w:basedOn w:val="DefaultParagraphFont"/>
    <w:link w:val="Header"/>
    <w:uiPriority w:val="99"/>
    <w:rsid w:val="00A9396D"/>
    <w:rPr>
      <w:rFonts w:ascii="Times New Roman" w:eastAsia="Times New Roman" w:hAnsi="Times New Roman" w:cs="Times New Roman"/>
      <w:sz w:val="24"/>
      <w:szCs w:val="20"/>
      <w:lang w:eastAsia="ro-RO"/>
    </w:rPr>
  </w:style>
  <w:style w:type="paragraph" w:styleId="Footer">
    <w:name w:val="footer"/>
    <w:basedOn w:val="Normal"/>
    <w:link w:val="FooterChar"/>
    <w:uiPriority w:val="99"/>
    <w:unhideWhenUsed/>
    <w:rsid w:val="00A9396D"/>
    <w:pPr>
      <w:tabs>
        <w:tab w:val="center" w:pos="4680"/>
        <w:tab w:val="right" w:pos="9360"/>
      </w:tabs>
    </w:pPr>
  </w:style>
  <w:style w:type="character" w:customStyle="1" w:styleId="FooterChar">
    <w:name w:val="Footer Char"/>
    <w:basedOn w:val="DefaultParagraphFont"/>
    <w:link w:val="Footer"/>
    <w:uiPriority w:val="99"/>
    <w:rsid w:val="00A9396D"/>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DB1A5-0AB4-4E5F-A4E8-000FBE00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Mariana Husar</cp:lastModifiedBy>
  <cp:revision>3</cp:revision>
  <cp:lastPrinted>2015-01-29T08:26:00Z</cp:lastPrinted>
  <dcterms:created xsi:type="dcterms:W3CDTF">2018-07-18T05:14:00Z</dcterms:created>
  <dcterms:modified xsi:type="dcterms:W3CDTF">2018-07-25T05:55:00Z</dcterms:modified>
</cp:coreProperties>
</file>