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C31A4" w:rsidRPr="001C31A4" w14:paraId="4EC1313E" w14:textId="77777777" w:rsidTr="00431B8D">
        <w:trPr>
          <w:trHeight w:hRule="exact" w:val="425"/>
        </w:trPr>
        <w:tc>
          <w:tcPr>
            <w:tcW w:w="4395" w:type="dxa"/>
            <w:vMerge w:val="restart"/>
            <w:hideMark/>
          </w:tcPr>
          <w:p w14:paraId="0A792A6E" w14:textId="77777777" w:rsidR="00E22FB2" w:rsidRPr="001C31A4" w:rsidRDefault="00E22FB2" w:rsidP="00F84F1D">
            <w:pPr>
              <w:pStyle w:val="Head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A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E78AD1" wp14:editId="64C51D36">
                  <wp:extent cx="1952625" cy="1276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hideMark/>
          </w:tcPr>
          <w:p w14:paraId="655D7E3F" w14:textId="4F8BAE34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în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registrare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______/____0</w:t>
            </w:r>
            <w:r w:rsidR="004709D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.2024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C31A4" w:rsidRPr="001C31A4" w14:paraId="642A7698" w14:textId="77777777" w:rsidTr="00431B8D">
        <w:trPr>
          <w:trHeight w:val="1589"/>
        </w:trPr>
        <w:tc>
          <w:tcPr>
            <w:tcW w:w="4395" w:type="dxa"/>
            <w:vMerge/>
            <w:vAlign w:val="center"/>
            <w:hideMark/>
          </w:tcPr>
          <w:p w14:paraId="648B091D" w14:textId="77777777" w:rsidR="00E22FB2" w:rsidRPr="001C31A4" w:rsidRDefault="00E22FB2" w:rsidP="00F84F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4E98576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Serviciul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Patrimoniu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Concesion</w:t>
            </w:r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ări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, Închirieri </w:t>
            </w:r>
          </w:p>
          <w:p w14:paraId="4DB1D73C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3A9AEAB2" w14:textId="45AD6EB9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522</w:t>
            </w:r>
          </w:p>
        </w:tc>
      </w:tr>
    </w:tbl>
    <w:p w14:paraId="4C148D72" w14:textId="6183131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</w:t>
      </w:r>
      <w:r w:rsidR="00B97259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Aprobat,</w:t>
      </w:r>
    </w:p>
    <w:p w14:paraId="4B831B4A" w14:textId="1484E544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                          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Primar</w:t>
      </w:r>
    </w:p>
    <w:p w14:paraId="7FBACDA8" w14:textId="77777777" w:rsidR="00E22FB2" w:rsidRPr="001C31A4" w:rsidRDefault="00E22FB2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C7095D3" w14:textId="49E1C251" w:rsidR="00E22FB2" w:rsidRPr="001C31A4" w:rsidRDefault="00B97259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proofErr w:type="spellStart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Kereskényi</w:t>
      </w:r>
      <w:proofErr w:type="spellEnd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Gábor</w:t>
      </w:r>
    </w:p>
    <w:p w14:paraId="463099CB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</w:p>
    <w:p w14:paraId="076ABE5F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</w:p>
    <w:p w14:paraId="2515EBE0" w14:textId="77777777" w:rsidR="00E22FB2" w:rsidRPr="001C31A4" w:rsidRDefault="00E22FB2" w:rsidP="00E22FB2">
      <w:pPr>
        <w:spacing w:after="0" w:line="240" w:lineRule="auto"/>
        <w:ind w:left="-567" w:right="-23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CAIET DE SARCINI</w:t>
      </w:r>
    </w:p>
    <w:p w14:paraId="5506AE0A" w14:textId="3CA6EF69" w:rsidR="00E22FB2" w:rsidRPr="001C31A4" w:rsidRDefault="00E22FB2" w:rsidP="00E22FB2">
      <w:pPr>
        <w:spacing w:after="0" w:line="240" w:lineRule="auto"/>
        <w:ind w:left="-567" w:right="-2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pentru servicii de evaluare privind stabilirea valorii de piață a un</w:t>
      </w:r>
      <w:r w:rsidR="008463D8" w:rsidRPr="001C31A4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imobil</w:t>
      </w:r>
      <w:r w:rsidR="008463D8" w:rsidRPr="001C31A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4FA247" w14:textId="77777777" w:rsidR="00E22FB2" w:rsidRPr="001C31A4" w:rsidRDefault="00E22FB2" w:rsidP="00E22FB2">
      <w:pPr>
        <w:spacing w:after="0" w:line="240" w:lineRule="auto"/>
        <w:ind w:left="-567" w:right="-2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</w:p>
    <w:p w14:paraId="650F41FA" w14:textId="1F4AD6DD" w:rsidR="00DF3348" w:rsidRPr="001C31A4" w:rsidRDefault="001C31A4" w:rsidP="001C31A4">
      <w:pPr>
        <w:pStyle w:val="ListParagraph"/>
        <w:spacing w:after="0" w:line="240" w:lineRule="auto"/>
        <w:ind w:left="318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F3348" w:rsidRPr="001C31A4">
        <w:rPr>
          <w:rFonts w:ascii="Times New Roman" w:hAnsi="Times New Roman" w:cs="Times New Roman"/>
          <w:b/>
          <w:sz w:val="28"/>
          <w:szCs w:val="28"/>
          <w:lang w:val="ro-RO"/>
        </w:rPr>
        <w:t>Obiectul caietului de sarcini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este întocmirea de rapoarte de evaluare pentru următoarele imobile:</w:t>
      </w:r>
    </w:p>
    <w:p w14:paraId="34895A83" w14:textId="40B2BE21" w:rsidR="00E22FB2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A2D13A7" w14:textId="4541370A" w:rsidR="004709DD" w:rsidRPr="001C31A4" w:rsidRDefault="004709DD" w:rsidP="001C31A4">
      <w:pPr>
        <w:pStyle w:val="ListParagraph"/>
        <w:ind w:left="318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9108A9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Apartament- </w:t>
      </w:r>
      <w:r w:rsidR="00366415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proprietatea municipiului Satu Mare, identificat prin CF nr. 174949-C2-U19, situat în Satu Mare, Piața Libertății nr. 16, ap.15  – în vederea vânzării; </w:t>
      </w:r>
    </w:p>
    <w:p w14:paraId="48B680E4" w14:textId="028BF943" w:rsidR="009108A9" w:rsidRPr="001C31A4" w:rsidRDefault="009108A9" w:rsidP="001C31A4">
      <w:pPr>
        <w:pStyle w:val="ListParagraph"/>
        <w:ind w:left="318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pt-BR"/>
        </w:rPr>
        <w:t>- Apartament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66415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proprietatea Statului Român, </w:t>
      </w:r>
      <w:r w:rsidR="00366415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identificat prin CF nr. 151318, </w:t>
      </w:r>
      <w:r w:rsidR="00366415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situat în </w:t>
      </w:r>
      <w:r w:rsidR="00366415" w:rsidRPr="001C31A4">
        <w:rPr>
          <w:rFonts w:ascii="Times New Roman" w:hAnsi="Times New Roman" w:cs="Times New Roman"/>
          <w:caps/>
          <w:sz w:val="28"/>
          <w:szCs w:val="28"/>
          <w:lang w:val="ro-RO"/>
        </w:rPr>
        <w:t>s</w:t>
      </w:r>
      <w:r w:rsidR="00366415" w:rsidRPr="001C31A4">
        <w:rPr>
          <w:rFonts w:ascii="Times New Roman" w:hAnsi="Times New Roman" w:cs="Times New Roman"/>
          <w:sz w:val="28"/>
          <w:szCs w:val="28"/>
          <w:lang w:val="ro-RO"/>
        </w:rPr>
        <w:t>atu Mare,</w:t>
      </w:r>
      <w:r w:rsidR="00366415" w:rsidRPr="001C31A4">
        <w:rPr>
          <w:rFonts w:ascii="Times New Roman" w:hAnsi="Times New Roman" w:cs="Times New Roman"/>
          <w:sz w:val="28"/>
          <w:szCs w:val="28"/>
          <w:lang w:val="pt-BR"/>
        </w:rPr>
        <w:t xml:space="preserve"> str.Neajlov  nr. 11, bl. 51, ap.78 – în vederea vânzării;</w:t>
      </w:r>
    </w:p>
    <w:p w14:paraId="7D714702" w14:textId="305030F1" w:rsidR="00DF3348" w:rsidRPr="001C31A4" w:rsidRDefault="004709DD" w:rsidP="001C31A4">
      <w:pPr>
        <w:pStyle w:val="ListParagraph"/>
        <w:ind w:left="318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9108A9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366415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teren intravilan, </w:t>
      </w:r>
      <w:r w:rsidR="00366415" w:rsidRPr="001C31A4">
        <w:rPr>
          <w:rFonts w:ascii="Times New Roman" w:hAnsi="Times New Roman" w:cs="Times New Roman"/>
          <w:sz w:val="28"/>
          <w:szCs w:val="28"/>
          <w:lang w:val="ro-RO"/>
        </w:rPr>
        <w:t>proprietatea Statului Român,</w:t>
      </w:r>
      <w:r w:rsidR="00366415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identificat prin nr. cadastral 178474, situat în Municipiul </w:t>
      </w:r>
      <w:r w:rsidR="00366415" w:rsidRPr="001C31A4">
        <w:rPr>
          <w:rFonts w:ascii="Times New Roman" w:hAnsi="Times New Roman" w:cs="Times New Roman"/>
          <w:iCs/>
          <w:caps/>
          <w:sz w:val="28"/>
          <w:szCs w:val="28"/>
          <w:lang w:val="ro-RO"/>
        </w:rPr>
        <w:t>s</w:t>
      </w:r>
      <w:r w:rsidR="00366415" w:rsidRPr="001C31A4">
        <w:rPr>
          <w:rFonts w:ascii="Times New Roman" w:hAnsi="Times New Roman" w:cs="Times New Roman"/>
          <w:iCs/>
          <w:sz w:val="28"/>
          <w:szCs w:val="28"/>
          <w:lang w:val="ro-RO"/>
        </w:rPr>
        <w:t>atu Mare, în suprafață totală de  906 mp, în vederea stabilirii dreptului de superficie cu titlu oneros;</w:t>
      </w:r>
    </w:p>
    <w:p w14:paraId="1FAD993E" w14:textId="213FB97B" w:rsidR="00DF3348" w:rsidRPr="001C31A4" w:rsidRDefault="001C31A4" w:rsidP="001C31A4">
      <w:pPr>
        <w:spacing w:after="0" w:line="240" w:lineRule="auto"/>
        <w:ind w:left="123" w:right="-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3348" w:rsidRPr="001C31A4">
        <w:rPr>
          <w:rFonts w:ascii="Times New Roman" w:hAnsi="Times New Roman" w:cs="Times New Roman"/>
          <w:b/>
          <w:sz w:val="28"/>
          <w:szCs w:val="28"/>
        </w:rPr>
        <w:t>LEGISLAȚIE</w:t>
      </w:r>
    </w:p>
    <w:p w14:paraId="61DC9F96" w14:textId="77777777" w:rsidR="00DF3348" w:rsidRPr="003F3666" w:rsidRDefault="00DF3348" w:rsidP="001C31A4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Achiziționarea serviciilor se va face cu respectarea strictă a:</w:t>
      </w:r>
    </w:p>
    <w:p w14:paraId="67E322F1" w14:textId="46487987" w:rsidR="00DF3348" w:rsidRPr="003F3666" w:rsidRDefault="00DF3348" w:rsidP="001C31A4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▪ Leg</w:t>
      </w:r>
      <w:r w:rsidR="00372EBB"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nr. 98</w:t>
      </w:r>
      <w:r w:rsidR="00372EBB">
        <w:rPr>
          <w:rFonts w:ascii="Times New Roman" w:hAnsi="Times New Roman" w:cs="Times New Roman"/>
          <w:bCs/>
          <w:sz w:val="28"/>
          <w:szCs w:val="28"/>
          <w:lang w:val="ro-RO"/>
        </w:rPr>
        <w:t>/2016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privind achizițiile publice cu modificările și completările ulterioare; </w:t>
      </w:r>
    </w:p>
    <w:p w14:paraId="456C684D" w14:textId="55BA7C88" w:rsidR="001C31A4" w:rsidRPr="003F3666" w:rsidRDefault="00DF3348" w:rsidP="001C31A4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▪ Hotărârea nr. 395/2016 pentru aprobarea Normelor metodologice de aplicare a  prevederilor referitoare  la atribu</w:t>
      </w:r>
      <w:r w:rsidR="003F3666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rea contractului de achiziție publică /acordului cadru din </w:t>
      </w:r>
      <w:r w:rsidR="00372EBB">
        <w:rPr>
          <w:rFonts w:ascii="Times New Roman" w:hAnsi="Times New Roman" w:cs="Times New Roman"/>
          <w:bCs/>
          <w:sz w:val="28"/>
          <w:szCs w:val="28"/>
          <w:lang w:val="ro-RO"/>
        </w:rPr>
        <w:t>L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egea nr. 98/2016 privind achizițiile publice, cu modificările și completările ulterioare; </w:t>
      </w:r>
    </w:p>
    <w:p w14:paraId="1E009934" w14:textId="61EEB5DD" w:rsidR="00E22FB2" w:rsidRPr="001C31A4" w:rsidRDefault="001C31A4" w:rsidP="001C31A4">
      <w:pPr>
        <w:spacing w:after="0" w:line="240" w:lineRule="auto"/>
        <w:ind w:left="-42" w:right="-23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3. </w:t>
      </w:r>
      <w:r w:rsidR="003F366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criterii de selecție a</w:t>
      </w:r>
      <w:r w:rsidR="00E22FB2" w:rsidRPr="003F366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serviciilor de evaluare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180217F1" w14:textId="7B9A16FF" w:rsidR="00E22FB2" w:rsidRPr="003F3666" w:rsidRDefault="003F3666" w:rsidP="003F3666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3.1. 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Valoarea de achiziție a serviciilor de evaluare pentru imobilul descris la Clauza 1 Obiectul </w:t>
      </w:r>
      <w:r>
        <w:rPr>
          <w:rFonts w:ascii="Times New Roman" w:hAnsi="Times New Roman" w:cs="Times New Roman"/>
          <w:sz w:val="28"/>
          <w:szCs w:val="28"/>
          <w:lang w:val="ro-RO"/>
        </w:rPr>
        <w:t>caietului de sarcini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 va fi </w:t>
      </w:r>
      <w:r w:rsidR="00E22FB2" w:rsidRPr="003F3666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”prețul cel mai scăzut”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potrivit art. 34 din HG nr. 395/2016. </w:t>
      </w:r>
    </w:p>
    <w:p w14:paraId="47AB6302" w14:textId="1093F959" w:rsidR="00E22FB2" w:rsidRPr="003F3666" w:rsidRDefault="003F3666" w:rsidP="003F3666">
      <w:pPr>
        <w:spacing w:after="0" w:line="240" w:lineRule="auto"/>
        <w:ind w:right="-23" w:firstLine="3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3.2. 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Plata </w:t>
      </w:r>
      <w:r w:rsidR="00DF3348" w:rsidRPr="003F3666">
        <w:rPr>
          <w:rFonts w:ascii="Times New Roman" w:hAnsi="Times New Roman" w:cs="Times New Roman"/>
          <w:sz w:val="28"/>
          <w:szCs w:val="28"/>
          <w:lang w:val="ro-RO"/>
        </w:rPr>
        <w:t>rapoartelor de evaluare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se va face după predarea </w:t>
      </w:r>
      <w:r w:rsidR="00DF3348" w:rsidRPr="003F3666">
        <w:rPr>
          <w:rFonts w:ascii="Times New Roman" w:hAnsi="Times New Roman" w:cs="Times New Roman"/>
          <w:sz w:val="28"/>
          <w:szCs w:val="28"/>
          <w:lang w:val="ro-RO"/>
        </w:rPr>
        <w:t>acestora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și întocmirea procesului verbal de recepție.</w:t>
      </w:r>
    </w:p>
    <w:p w14:paraId="7D73254E" w14:textId="2DD21B98" w:rsidR="00DF3348" w:rsidRPr="001C31A4" w:rsidRDefault="00DF3348" w:rsidP="001C31A4">
      <w:pPr>
        <w:pStyle w:val="ListParagraph"/>
        <w:spacing w:after="0" w:line="240" w:lineRule="auto"/>
        <w:ind w:left="103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C5711EE" w14:textId="6171222E" w:rsidR="001C31A4" w:rsidRPr="003F3666" w:rsidRDefault="001C31A4" w:rsidP="003F3666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  <w:r w:rsidRPr="001C31A4">
        <w:rPr>
          <w:rFonts w:eastAsiaTheme="minorHAnsi"/>
          <w:bCs w:val="0"/>
          <w:sz w:val="28"/>
          <w:szCs w:val="28"/>
          <w:lang w:val="en-GB"/>
        </w:rPr>
        <w:t xml:space="preserve"> </w:t>
      </w:r>
      <w:r w:rsidR="003F3666">
        <w:rPr>
          <w:rFonts w:eastAsiaTheme="minorHAnsi"/>
          <w:bCs w:val="0"/>
          <w:sz w:val="28"/>
          <w:szCs w:val="28"/>
          <w:lang w:val="en-GB"/>
        </w:rPr>
        <w:t xml:space="preserve">4. </w:t>
      </w:r>
      <w:r w:rsidRPr="001C31A4">
        <w:rPr>
          <w:rFonts w:eastAsiaTheme="minorHAnsi"/>
          <w:bCs w:val="0"/>
          <w:sz w:val="28"/>
          <w:szCs w:val="28"/>
          <w:lang w:val="en-GB"/>
        </w:rPr>
        <w:t xml:space="preserve">REGULI </w:t>
      </w:r>
      <w:r w:rsidRPr="003F3666">
        <w:rPr>
          <w:rFonts w:eastAsiaTheme="minorHAnsi"/>
          <w:b w:val="0"/>
          <w:sz w:val="28"/>
          <w:szCs w:val="28"/>
          <w:lang w:val="en-GB"/>
        </w:rPr>
        <w:t>OBLIGATORII REFERITOARE LA CONDIŢIILE DE MUNCĂ ŞI DE PROTECŢIA MUNCII</w:t>
      </w:r>
      <w:r w:rsidR="003F3666">
        <w:rPr>
          <w:rFonts w:eastAsiaTheme="minorHAnsi"/>
          <w:b w:val="0"/>
          <w:sz w:val="28"/>
          <w:szCs w:val="28"/>
          <w:lang w:val="en-GB"/>
        </w:rPr>
        <w:t>:</w:t>
      </w:r>
    </w:p>
    <w:p w14:paraId="3357D5DE" w14:textId="77777777" w:rsidR="001C31A4" w:rsidRPr="001C31A4" w:rsidRDefault="001C31A4" w:rsidP="001C31A4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</w:p>
    <w:p w14:paraId="70796651" w14:textId="18250FDB" w:rsidR="001C31A4" w:rsidRPr="002F07AC" w:rsidRDefault="001C31A4" w:rsidP="002F07AC">
      <w:pPr>
        <w:tabs>
          <w:tab w:val="num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La prestarea serviciilor ce fac obiectul prezentului caiet de sarcini, vor fi respectate prevederile Legii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securității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F3666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sănătății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muncă nr. 319/2006,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ale tuturor actelor normative subsecvente  (norme specifice de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protecție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 muncii</w:t>
      </w:r>
      <w:r w:rsidRPr="001C31A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671035D4" w14:textId="7AA11250" w:rsidR="00E22FB2" w:rsidRPr="001C31A4" w:rsidRDefault="002F07AC" w:rsidP="002F07AC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F3666" w:rsidRPr="003F3666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Prestatorul are următoarele obligații:</w:t>
      </w:r>
    </w:p>
    <w:p w14:paraId="0D0708CE" w14:textId="593ABC06" w:rsidR="00E22FB2" w:rsidRPr="001C31A4" w:rsidRDefault="00E22FB2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a) de a începe prestarea serviciilor în cel mai scurt timp de la primirea Notei de comandă, astfel încât finalizarea  convenită de părți să fie respectată</w:t>
      </w:r>
      <w:r w:rsidR="003F366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3F3666"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respectiv </w:t>
      </w:r>
      <w:r w:rsidR="003F3666"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>15 zile lucrătoare de la data inspecției imobilelor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1E978F6" w14:textId="2CBD47BA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prestatorul este pe deplin responsabil pentru prestarea serviciilor în conformitate cu termenul asumat  prin oferta de prestare a serviciilor;</w:t>
      </w:r>
    </w:p>
    <w:p w14:paraId="262F33A8" w14:textId="0C713717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să informeze achizitorul în cazul imposibilității realizării serviciilor de evaluare și să justifice cauzele ce conduc la această situație;</w:t>
      </w:r>
    </w:p>
    <w:p w14:paraId="7BDD7B82" w14:textId="185C345D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rapo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v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prezentat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achizitorului în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 câte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două exemplare pe suport fizic, și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câte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un exemplar pe suport electronic.</w:t>
      </w:r>
    </w:p>
    <w:p w14:paraId="636F6ED6" w14:textId="11990E62" w:rsidR="00E22FB2" w:rsidRPr="00372EBB" w:rsidRDefault="002F07AC" w:rsidP="00372EBB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Recepția:</w:t>
      </w:r>
    </w:p>
    <w:p w14:paraId="44FBE447" w14:textId="474DC4E7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Rapo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pentru imobil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proprietate privată descris la punctul 1, v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recepționat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compartimentul de specialitate care a lansat cererea de evaluare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E358FED" w14:textId="2992BA9D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E22FB2"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Valoarea ofertei:</w:t>
      </w:r>
    </w:p>
    <w:p w14:paraId="57DF52CF" w14:textId="1A95D3C6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 (1) Valoarea ofertei se va stabili pe baza necesarului de ore și a tarifului orar necesar întocmirii evaluării.</w:t>
      </w:r>
    </w:p>
    <w:p w14:paraId="2D78B5A1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(2) Ofertantul va prezenta în propunerea financiară valoarea totală a serviciilor fără TVA.</w:t>
      </w:r>
    </w:p>
    <w:p w14:paraId="4D09255B" w14:textId="30576F2D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. Sancțiuni pentru neexecutarea la termen:</w:t>
      </w:r>
    </w:p>
    <w:p w14:paraId="72EAFADC" w14:textId="74A9A2F9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1. Nerespectarea termenului de predare a lucrării se penalizează cu 1% din valoarea lucrării pentru fiecare zi de întârziere.</w:t>
      </w:r>
    </w:p>
    <w:p w14:paraId="041BB3A0" w14:textId="44AF5040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Plata serviciilor:</w:t>
      </w:r>
    </w:p>
    <w:p w14:paraId="35C6A40B" w14:textId="556501FD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.1. Plata serviciilor de evaluare se va face de către beneficiar (achizitor) în baza notei de comandă și a facturii întocmite, vizată de reprezentantul desemnat de autoritatea publică. </w:t>
      </w:r>
    </w:p>
    <w:p w14:paraId="20900633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4AA1F3" w14:textId="37143CF8" w:rsidR="00E22FB2" w:rsidRPr="001C31A4" w:rsidRDefault="002F07AC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Șef serviciu</w:t>
      </w:r>
    </w:p>
    <w:p w14:paraId="5A33D5CC" w14:textId="77777777" w:rsidR="00E22FB2" w:rsidRPr="001C31A4" w:rsidRDefault="00E22FB2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Faur Mihaela</w:t>
      </w:r>
    </w:p>
    <w:p w14:paraId="53A4A3C1" w14:textId="77777777" w:rsidR="00E22FB2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C7E9B6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6CF14D8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6A0FAD7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947C0D9" w14:textId="415F7890" w:rsidR="00BA4197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</w:rPr>
      </w:pPr>
      <w:r w:rsidRPr="001C31A4">
        <w:rPr>
          <w:rFonts w:ascii="Times New Roman" w:hAnsi="Times New Roman" w:cs="Times New Roman"/>
          <w:sz w:val="16"/>
          <w:szCs w:val="16"/>
          <w:lang w:val="ro-RO"/>
        </w:rPr>
        <w:t>ȘCM/2ex</w:t>
      </w:r>
    </w:p>
    <w:sectPr w:rsidR="00BA4197" w:rsidRPr="001C31A4" w:rsidSect="00BB5D53">
      <w:footerReference w:type="default" r:id="rId8"/>
      <w:pgSz w:w="11906" w:h="16838"/>
      <w:pgMar w:top="1134" w:right="1134" w:bottom="1134" w:left="144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B810" w14:textId="77777777" w:rsidR="00235391" w:rsidRDefault="00235391">
      <w:pPr>
        <w:spacing w:after="0" w:line="240" w:lineRule="auto"/>
      </w:pPr>
      <w:r>
        <w:separator/>
      </w:r>
    </w:p>
  </w:endnote>
  <w:endnote w:type="continuationSeparator" w:id="0">
    <w:p w14:paraId="0BEDE8AF" w14:textId="77777777" w:rsidR="00235391" w:rsidRDefault="0023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7DAD" w14:textId="77777777" w:rsidR="00BB5D53" w:rsidRDefault="00235391" w:rsidP="00BB5D53">
    <w:pPr>
      <w:pBdr>
        <w:bottom w:val="double" w:sz="4" w:space="1" w:color="003767"/>
      </w:pBdr>
      <w:spacing w:line="240" w:lineRule="auto"/>
      <w:ind w:left="-284" w:right="-284"/>
      <w:rPr>
        <w:lang w:val="en-US"/>
      </w:rPr>
    </w:pPr>
  </w:p>
  <w:tbl>
    <w:tblPr>
      <w:tblW w:w="9780" w:type="dxa"/>
      <w:tblInd w:w="-5" w:type="dxa"/>
      <w:tblBorders>
        <w:insideH w:val="single" w:sz="12" w:space="0" w:color="2F5496"/>
        <w:insideV w:val="single" w:sz="12" w:space="0" w:color="2F5496"/>
      </w:tblBorders>
      <w:tblLook w:val="04A0" w:firstRow="1" w:lastRow="0" w:firstColumn="1" w:lastColumn="0" w:noHBand="0" w:noVBand="1"/>
    </w:tblPr>
    <w:tblGrid>
      <w:gridCol w:w="4377"/>
      <w:gridCol w:w="5403"/>
    </w:tblGrid>
    <w:tr w:rsidR="00BB5D53" w14:paraId="57C5F1F9" w14:textId="77777777" w:rsidTr="00BB5D53">
      <w:tc>
        <w:tcPr>
          <w:tcW w:w="4377" w:type="dxa"/>
          <w:tcBorders>
            <w:top w:val="nil"/>
            <w:left w:val="nil"/>
            <w:bottom w:val="nil"/>
            <w:right w:val="single" w:sz="12" w:space="0" w:color="2F5496"/>
          </w:tcBorders>
          <w:hideMark/>
        </w:tcPr>
        <w:p w14:paraId="5628469D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</w:pPr>
          <w:r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  <w:t xml:space="preserve">pg. 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begin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instrText xml:space="preserve"> PAGE  \* Arabic  \* MERGEFORMAT </w:instrTex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separate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1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end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/</w:t>
          </w:r>
          <w:r>
            <w:rPr>
              <w:rFonts w:ascii="Cambria" w:eastAsia="Calibri" w:hAnsi="Cambria"/>
            </w:rPr>
            <w:fldChar w:fldCharType="begin"/>
          </w:r>
          <w:r>
            <w:rPr>
              <w:rFonts w:ascii="Cambria" w:eastAsia="Calibri" w:hAnsi="Cambria"/>
            </w:rPr>
            <w:instrText xml:space="preserve"> NUMPAGES  \* Arabic  \* MERGEFORMAT </w:instrText>
          </w:r>
          <w:r>
            <w:rPr>
              <w:rFonts w:ascii="Cambria" w:eastAsia="Calibri" w:hAnsi="Cambria"/>
            </w:rPr>
            <w:fldChar w:fldCharType="separate"/>
          </w:r>
          <w:r>
            <w:rPr>
              <w:rFonts w:ascii="Cambria" w:eastAsia="Calibri" w:hAnsi="Cambria"/>
            </w:rPr>
            <w:t>4</w:t>
          </w:r>
          <w:r>
            <w:rPr>
              <w:rFonts w:ascii="Cambria" w:eastAsia="Calibri" w:hAnsi="Cambria" w:cs="Montserrat"/>
              <w:b/>
              <w:bCs/>
              <w:noProof/>
              <w:color w:val="003A6A"/>
              <w:sz w:val="20"/>
              <w:szCs w:val="20"/>
            </w:rPr>
            <w:fldChar w:fldCharType="end"/>
          </w:r>
        </w:p>
      </w:tc>
      <w:tc>
        <w:tcPr>
          <w:tcW w:w="5403" w:type="dxa"/>
          <w:tcBorders>
            <w:top w:val="nil"/>
            <w:left w:val="single" w:sz="12" w:space="0" w:color="2F5496"/>
            <w:bottom w:val="nil"/>
            <w:right w:val="nil"/>
          </w:tcBorders>
          <w:hideMark/>
        </w:tcPr>
        <w:p w14:paraId="6229DD1C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 xml:space="preserve">Adresa: Satu Mare 440026, Piața 25 Octombrie nr. 1 </w:t>
          </w:r>
        </w:p>
        <w:p w14:paraId="7B146079" w14:textId="77777777" w:rsidR="00BB5D53" w:rsidRDefault="00C4705B" w:rsidP="00BB5D53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mbria" w:eastAsia="Calibri" w:hAnsi="Cambria" w:cs="Times New Roman"/>
              <w:sz w:val="14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>E-mail: primaria@primariasm.ro Telefon: 0261.807.553, 0261.807.566</w:t>
          </w: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br/>
            <w:t>Web: www.satu-mare.ro,  www.facebook.com/primariasatumare</w:t>
          </w:r>
        </w:p>
      </w:tc>
    </w:tr>
  </w:tbl>
  <w:p w14:paraId="5FE0CC93" w14:textId="77777777" w:rsidR="00BB5D53" w:rsidRDefault="00235391" w:rsidP="00BB5D53">
    <w:pPr>
      <w:pStyle w:val="Footer"/>
      <w:rPr>
        <w:rFonts w:ascii="Calibri" w:eastAsia="Times New Roman" w:hAnsi="Calibri"/>
        <w:lang w:val="de-DE"/>
      </w:rPr>
    </w:pPr>
  </w:p>
  <w:p w14:paraId="4E150B8D" w14:textId="77777777" w:rsidR="00BB5D53" w:rsidRDefault="0023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9817" w14:textId="77777777" w:rsidR="00235391" w:rsidRDefault="00235391">
      <w:pPr>
        <w:spacing w:after="0" w:line="240" w:lineRule="auto"/>
      </w:pPr>
      <w:r>
        <w:separator/>
      </w:r>
    </w:p>
  </w:footnote>
  <w:footnote w:type="continuationSeparator" w:id="0">
    <w:p w14:paraId="72F93222" w14:textId="77777777" w:rsidR="00235391" w:rsidRDefault="0023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4C9"/>
    <w:multiLevelType w:val="multilevel"/>
    <w:tmpl w:val="5F4A2D80"/>
    <w:lvl w:ilvl="0">
      <w:start w:val="1"/>
      <w:numFmt w:val="decimal"/>
      <w:lvlText w:val="%1."/>
      <w:lvlJc w:val="left"/>
      <w:pPr>
        <w:ind w:left="318" w:hanging="360"/>
      </w:pPr>
    </w:lvl>
    <w:lvl w:ilvl="1">
      <w:start w:val="1"/>
      <w:numFmt w:val="decimal"/>
      <w:isLgl/>
      <w:lvlText w:val="%1.%2."/>
      <w:lvlJc w:val="left"/>
      <w:pPr>
        <w:ind w:left="1038" w:hanging="720"/>
      </w:pPr>
    </w:lvl>
    <w:lvl w:ilvl="2">
      <w:start w:val="1"/>
      <w:numFmt w:val="decimal"/>
      <w:isLgl/>
      <w:lvlText w:val="%1.%2.%3."/>
      <w:lvlJc w:val="left"/>
      <w:pPr>
        <w:ind w:left="1398" w:hanging="720"/>
      </w:pPr>
    </w:lvl>
    <w:lvl w:ilvl="3">
      <w:start w:val="1"/>
      <w:numFmt w:val="decimal"/>
      <w:isLgl/>
      <w:lvlText w:val="%1.%2.%3.%4."/>
      <w:lvlJc w:val="left"/>
      <w:pPr>
        <w:ind w:left="2118" w:hanging="1080"/>
      </w:pPr>
    </w:lvl>
    <w:lvl w:ilvl="4">
      <w:start w:val="1"/>
      <w:numFmt w:val="decimal"/>
      <w:isLgl/>
      <w:lvlText w:val="%1.%2.%3.%4.%5."/>
      <w:lvlJc w:val="left"/>
      <w:pPr>
        <w:ind w:left="2838" w:hanging="1440"/>
      </w:pPr>
    </w:lvl>
    <w:lvl w:ilvl="5">
      <w:start w:val="1"/>
      <w:numFmt w:val="decimal"/>
      <w:isLgl/>
      <w:lvlText w:val="%1.%2.%3.%4.%5.%6."/>
      <w:lvlJc w:val="left"/>
      <w:pPr>
        <w:ind w:left="3198" w:hanging="1440"/>
      </w:pPr>
    </w:lvl>
    <w:lvl w:ilvl="6">
      <w:start w:val="1"/>
      <w:numFmt w:val="decimal"/>
      <w:isLgl/>
      <w:lvlText w:val="%1.%2.%3.%4.%5.%6.%7."/>
      <w:lvlJc w:val="left"/>
      <w:pPr>
        <w:ind w:left="3918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8" w:hanging="2160"/>
      </w:pPr>
    </w:lvl>
  </w:abstractNum>
  <w:abstractNum w:abstractNumId="1" w15:restartNumberingAfterBreak="0">
    <w:nsid w:val="313A3F55"/>
    <w:multiLevelType w:val="hybridMultilevel"/>
    <w:tmpl w:val="E8ACA460"/>
    <w:lvl w:ilvl="0" w:tplc="820ECDEA">
      <w:start w:val="1"/>
      <w:numFmt w:val="lowerLetter"/>
      <w:lvlText w:val="%1)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4BCF0781"/>
    <w:multiLevelType w:val="hybridMultilevel"/>
    <w:tmpl w:val="C9729892"/>
    <w:lvl w:ilvl="0" w:tplc="B94E85D6">
      <w:start w:val="1"/>
      <w:numFmt w:val="decimal"/>
      <w:lvlText w:val="%1."/>
      <w:lvlJc w:val="left"/>
      <w:pPr>
        <w:ind w:left="483" w:hanging="360"/>
      </w:pPr>
    </w:lvl>
    <w:lvl w:ilvl="1" w:tplc="08090019">
      <w:start w:val="1"/>
      <w:numFmt w:val="lowerLetter"/>
      <w:lvlText w:val="%2."/>
      <w:lvlJc w:val="left"/>
      <w:pPr>
        <w:ind w:left="1203" w:hanging="360"/>
      </w:pPr>
    </w:lvl>
    <w:lvl w:ilvl="2" w:tplc="0809001B">
      <w:start w:val="1"/>
      <w:numFmt w:val="lowerRoman"/>
      <w:lvlText w:val="%3."/>
      <w:lvlJc w:val="right"/>
      <w:pPr>
        <w:ind w:left="1923" w:hanging="180"/>
      </w:pPr>
    </w:lvl>
    <w:lvl w:ilvl="3" w:tplc="0809000F">
      <w:start w:val="1"/>
      <w:numFmt w:val="decimal"/>
      <w:lvlText w:val="%4."/>
      <w:lvlJc w:val="left"/>
      <w:pPr>
        <w:ind w:left="2643" w:hanging="360"/>
      </w:pPr>
    </w:lvl>
    <w:lvl w:ilvl="4" w:tplc="08090019">
      <w:start w:val="1"/>
      <w:numFmt w:val="lowerLetter"/>
      <w:lvlText w:val="%5."/>
      <w:lvlJc w:val="left"/>
      <w:pPr>
        <w:ind w:left="3363" w:hanging="360"/>
      </w:pPr>
    </w:lvl>
    <w:lvl w:ilvl="5" w:tplc="0809001B">
      <w:start w:val="1"/>
      <w:numFmt w:val="lowerRoman"/>
      <w:lvlText w:val="%6."/>
      <w:lvlJc w:val="right"/>
      <w:pPr>
        <w:ind w:left="4083" w:hanging="180"/>
      </w:pPr>
    </w:lvl>
    <w:lvl w:ilvl="6" w:tplc="0809000F">
      <w:start w:val="1"/>
      <w:numFmt w:val="decimal"/>
      <w:lvlText w:val="%7."/>
      <w:lvlJc w:val="left"/>
      <w:pPr>
        <w:ind w:left="4803" w:hanging="360"/>
      </w:pPr>
    </w:lvl>
    <w:lvl w:ilvl="7" w:tplc="08090019">
      <w:start w:val="1"/>
      <w:numFmt w:val="lowerLetter"/>
      <w:lvlText w:val="%8."/>
      <w:lvlJc w:val="left"/>
      <w:pPr>
        <w:ind w:left="5523" w:hanging="360"/>
      </w:pPr>
    </w:lvl>
    <w:lvl w:ilvl="8" w:tplc="0809001B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B2"/>
    <w:rsid w:val="0006347A"/>
    <w:rsid w:val="0015196F"/>
    <w:rsid w:val="001C31A4"/>
    <w:rsid w:val="001F6B22"/>
    <w:rsid w:val="00235391"/>
    <w:rsid w:val="002B7AF0"/>
    <w:rsid w:val="002F07AC"/>
    <w:rsid w:val="00366415"/>
    <w:rsid w:val="00372EBB"/>
    <w:rsid w:val="00375869"/>
    <w:rsid w:val="003D0BF1"/>
    <w:rsid w:val="003F3666"/>
    <w:rsid w:val="00431B8D"/>
    <w:rsid w:val="004709DD"/>
    <w:rsid w:val="00537E81"/>
    <w:rsid w:val="005A4BD4"/>
    <w:rsid w:val="00697CAB"/>
    <w:rsid w:val="00712F7A"/>
    <w:rsid w:val="00777E34"/>
    <w:rsid w:val="00794CF9"/>
    <w:rsid w:val="008463D8"/>
    <w:rsid w:val="00866D5E"/>
    <w:rsid w:val="008B3F1C"/>
    <w:rsid w:val="009108A9"/>
    <w:rsid w:val="00917C34"/>
    <w:rsid w:val="00A64396"/>
    <w:rsid w:val="00A76F3A"/>
    <w:rsid w:val="00A86D38"/>
    <w:rsid w:val="00B3759D"/>
    <w:rsid w:val="00B97259"/>
    <w:rsid w:val="00C30F4A"/>
    <w:rsid w:val="00C4705B"/>
    <w:rsid w:val="00C87D4B"/>
    <w:rsid w:val="00C97FB3"/>
    <w:rsid w:val="00CB3860"/>
    <w:rsid w:val="00CC21B8"/>
    <w:rsid w:val="00CC4165"/>
    <w:rsid w:val="00DE5A20"/>
    <w:rsid w:val="00DF2AAD"/>
    <w:rsid w:val="00DF3348"/>
    <w:rsid w:val="00E22FB2"/>
    <w:rsid w:val="00E44E68"/>
    <w:rsid w:val="00E94A75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8FBE"/>
  <w15:chartTrackingRefBased/>
  <w15:docId w15:val="{65BFC5A2-0698-42F0-AAA0-9CF0119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B2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B2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22FB2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2FB2"/>
    <w:rPr>
      <w:rFonts w:ascii="Calibri" w:eastAsia="Calibri" w:hAnsi="Calibri" w:cs="Times New Roman"/>
      <w:lang w:val="en-GB"/>
    </w:rPr>
  </w:style>
  <w:style w:type="paragraph" w:customStyle="1" w:styleId="BasicParagraph">
    <w:name w:val="[Basic Paragraph]"/>
    <w:basedOn w:val="Normal"/>
    <w:uiPriority w:val="99"/>
    <w:rsid w:val="00E22FB2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1C3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1C31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550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2024-05-09T08:36:00Z</cp:lastPrinted>
  <dcterms:created xsi:type="dcterms:W3CDTF">2024-01-16T11:01:00Z</dcterms:created>
  <dcterms:modified xsi:type="dcterms:W3CDTF">2024-05-09T12:43:00Z</dcterms:modified>
</cp:coreProperties>
</file>