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PRIMĂRIA MUNICIPIULUI SATU MARE</w:t>
      </w:r>
    </w:p>
    <w:p w14:paraId="0D4E873F"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SERVICIUL SCRIERE, IMPLEMENTARE ŞI MONITORIZARE PROIECTE</w:t>
      </w:r>
    </w:p>
    <w:p w14:paraId="18A734AF" w14:textId="77777777" w:rsidR="00A73A74" w:rsidRPr="004A744A" w:rsidRDefault="001D6D04" w:rsidP="00FB480E">
      <w:pPr>
        <w:pStyle w:val="PlainText"/>
        <w:contextualSpacing/>
        <w:rPr>
          <w:rFonts w:ascii="Times New Roman" w:hAnsi="Times New Roman" w:cs="Times New Roman"/>
          <w:sz w:val="24"/>
          <w:szCs w:val="24"/>
        </w:rPr>
      </w:pPr>
      <w:r w:rsidRPr="004A744A">
        <w:rPr>
          <w:rFonts w:ascii="Times New Roman" w:hAnsi="Times New Roman" w:cs="Times New Roman"/>
          <w:sz w:val="24"/>
          <w:szCs w:val="24"/>
        </w:rPr>
        <w:t>DIRECŢIA ECONOMICĂ</w:t>
      </w:r>
    </w:p>
    <w:p w14:paraId="619CEB46" w14:textId="725EFFBE" w:rsidR="00A73A74" w:rsidRPr="004A744A" w:rsidRDefault="001D6D04" w:rsidP="00FB480E">
      <w:pPr>
        <w:pStyle w:val="PlainText"/>
        <w:contextualSpacing/>
        <w:rPr>
          <w:rFonts w:ascii="Times New Roman" w:hAnsi="Times New Roman" w:cs="Times New Roman"/>
          <w:b/>
          <w:sz w:val="24"/>
          <w:szCs w:val="24"/>
        </w:rPr>
      </w:pPr>
      <w:r w:rsidRPr="00D10187">
        <w:rPr>
          <w:rFonts w:ascii="Times New Roman" w:hAnsi="Times New Roman" w:cs="Times New Roman"/>
          <w:sz w:val="24"/>
          <w:szCs w:val="24"/>
        </w:rPr>
        <w:t xml:space="preserve">NR. </w:t>
      </w:r>
      <w:bookmarkStart w:id="0" w:name="_Hlk163030381"/>
      <w:r w:rsidR="00F2051E" w:rsidRPr="00F2051E">
        <w:rPr>
          <w:rFonts w:ascii="Times New Roman" w:hAnsi="Times New Roman" w:cs="Times New Roman"/>
          <w:sz w:val="24"/>
          <w:szCs w:val="24"/>
        </w:rPr>
        <w:t>20998</w:t>
      </w:r>
      <w:r w:rsidR="00F2051E">
        <w:rPr>
          <w:rFonts w:ascii="Times New Roman" w:hAnsi="Times New Roman" w:cs="Times New Roman"/>
          <w:sz w:val="24"/>
          <w:szCs w:val="24"/>
        </w:rPr>
        <w:t>/03.04.2024</w:t>
      </w:r>
      <w:bookmarkEnd w:id="0"/>
    </w:p>
    <w:p w14:paraId="5BFAC421" w14:textId="77777777" w:rsidR="00A73A74" w:rsidRPr="004A744A" w:rsidRDefault="00A73A74" w:rsidP="00FB480E">
      <w:pPr>
        <w:pStyle w:val="PlainText"/>
        <w:contextualSpacing/>
        <w:jc w:val="center"/>
        <w:rPr>
          <w:rFonts w:ascii="Times New Roman" w:hAnsi="Times New Roman" w:cs="Times New Roman"/>
          <w:b/>
          <w:sz w:val="24"/>
          <w:szCs w:val="24"/>
        </w:rPr>
      </w:pPr>
    </w:p>
    <w:p w14:paraId="2A35503D" w14:textId="5800B88F" w:rsidR="004A744A" w:rsidRPr="004A744A" w:rsidRDefault="004A744A" w:rsidP="00FB480E">
      <w:pPr>
        <w:pStyle w:val="PlainText"/>
        <w:ind w:firstLine="720"/>
        <w:contextualSpacing/>
        <w:jc w:val="both"/>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În temeiul prevederilor art.136 alin. (8) lit. b) din OUG nr. 57/2019 privind Codul Administrativ, cu modificările și completările ulterioare,  </w:t>
      </w:r>
    </w:p>
    <w:p w14:paraId="63CCBD23" w14:textId="7366D268" w:rsidR="004A744A" w:rsidRPr="004A744A" w:rsidRDefault="004A744A" w:rsidP="00FB480E">
      <w:pPr>
        <w:pStyle w:val="PlainText"/>
        <w:contextualSpacing/>
        <w:jc w:val="both"/>
        <w:rPr>
          <w:rFonts w:ascii="Times New Roman" w:hAnsi="Times New Roman" w:cs="Times New Roman"/>
          <w:sz w:val="24"/>
          <w:szCs w:val="24"/>
          <w:lang w:val="ro-RO"/>
        </w:rPr>
      </w:pPr>
      <w:r w:rsidRPr="004A744A">
        <w:rPr>
          <w:rFonts w:ascii="Times New Roman" w:hAnsi="Times New Roman" w:cs="Times New Roman"/>
          <w:sz w:val="24"/>
          <w:szCs w:val="24"/>
          <w:lang w:val="ro-RO"/>
        </w:rPr>
        <w:t xml:space="preserve">           Serviciul Scriere, Implementare și Monitorizare Proiecte și Directorul executiv al Direcției Economice formulează următorul:</w:t>
      </w:r>
    </w:p>
    <w:p w14:paraId="1FFB8E25" w14:textId="77777777" w:rsidR="004A744A" w:rsidRDefault="004A744A" w:rsidP="00FB480E">
      <w:pPr>
        <w:pStyle w:val="PlainText"/>
        <w:contextualSpacing/>
        <w:rPr>
          <w:rFonts w:ascii="Times New Roman" w:hAnsi="Times New Roman" w:cs="Times New Roman"/>
          <w:b/>
          <w:sz w:val="24"/>
          <w:szCs w:val="24"/>
        </w:rPr>
      </w:pPr>
    </w:p>
    <w:p w14:paraId="01B1E43A" w14:textId="77777777" w:rsidR="00AC4638" w:rsidRPr="004A744A" w:rsidRDefault="00AC4638" w:rsidP="00FB480E">
      <w:pPr>
        <w:pStyle w:val="PlainText"/>
        <w:contextualSpacing/>
        <w:rPr>
          <w:rFonts w:ascii="Times New Roman" w:hAnsi="Times New Roman" w:cs="Times New Roman"/>
          <w:b/>
          <w:sz w:val="24"/>
          <w:szCs w:val="24"/>
        </w:rPr>
      </w:pPr>
    </w:p>
    <w:p w14:paraId="3AA8616E" w14:textId="77777777" w:rsidR="00A06BA1" w:rsidRDefault="00A06BA1" w:rsidP="00FB480E">
      <w:pPr>
        <w:spacing w:after="0" w:line="240" w:lineRule="auto"/>
        <w:contextualSpacing/>
        <w:jc w:val="center"/>
        <w:rPr>
          <w:rFonts w:eastAsia="Times New Roman"/>
          <w:b/>
          <w:szCs w:val="24"/>
          <w:lang w:val="ro-RO"/>
        </w:rPr>
      </w:pPr>
      <w:r w:rsidRPr="004A744A">
        <w:rPr>
          <w:rFonts w:eastAsia="Times New Roman"/>
          <w:b/>
          <w:szCs w:val="24"/>
          <w:lang w:val="ro-RO"/>
        </w:rPr>
        <w:t>RAPORT DE SPECIALITATE</w:t>
      </w:r>
    </w:p>
    <w:p w14:paraId="66A96F93" w14:textId="77777777" w:rsidR="00CD6509" w:rsidRPr="004A744A" w:rsidRDefault="00CD6509" w:rsidP="00FB480E">
      <w:pPr>
        <w:spacing w:after="0" w:line="240" w:lineRule="auto"/>
        <w:contextualSpacing/>
        <w:jc w:val="center"/>
        <w:rPr>
          <w:rFonts w:eastAsia="Times New Roman"/>
          <w:b/>
          <w:szCs w:val="24"/>
          <w:lang w:val="ro-RO"/>
        </w:rPr>
      </w:pPr>
    </w:p>
    <w:p w14:paraId="0E08BFB7" w14:textId="33D6E35A" w:rsidR="00A06BA1" w:rsidRPr="004A744A" w:rsidRDefault="00CC5886" w:rsidP="00FB480E">
      <w:pPr>
        <w:spacing w:after="0"/>
        <w:contextualSpacing/>
        <w:jc w:val="center"/>
        <w:rPr>
          <w:szCs w:val="24"/>
          <w:lang w:val="ro-RO"/>
        </w:rPr>
      </w:pPr>
      <w:r w:rsidRPr="00CC5886">
        <w:rPr>
          <w:szCs w:val="24"/>
          <w:lang w:val="ro-RO"/>
        </w:rPr>
        <w:t>privind aprobarea participării în proiectul „</w:t>
      </w:r>
      <w:proofErr w:type="spellStart"/>
      <w:r w:rsidRPr="00CC5886">
        <w:rPr>
          <w:szCs w:val="24"/>
          <w:lang w:val="ro-RO"/>
        </w:rPr>
        <w:t>Together</w:t>
      </w:r>
      <w:proofErr w:type="spellEnd"/>
      <w:r w:rsidRPr="00CC5886">
        <w:rPr>
          <w:szCs w:val="24"/>
          <w:lang w:val="ro-RO"/>
        </w:rPr>
        <w:t xml:space="preserve"> for Energy-</w:t>
      </w:r>
      <w:proofErr w:type="spellStart"/>
      <w:r w:rsidRPr="00CC5886">
        <w:rPr>
          <w:szCs w:val="24"/>
          <w:lang w:val="ro-RO"/>
        </w:rPr>
        <w:t>efficient</w:t>
      </w:r>
      <w:proofErr w:type="spellEnd"/>
      <w:r w:rsidRPr="00CC5886">
        <w:rPr>
          <w:szCs w:val="24"/>
          <w:lang w:val="ro-RO"/>
        </w:rPr>
        <w:t xml:space="preserve"> Urban </w:t>
      </w:r>
      <w:proofErr w:type="spellStart"/>
      <w:r w:rsidRPr="00CC5886">
        <w:rPr>
          <w:szCs w:val="24"/>
          <w:lang w:val="ro-RO"/>
        </w:rPr>
        <w:t>Mobility</w:t>
      </w:r>
      <w:proofErr w:type="spellEnd"/>
      <w:r w:rsidRPr="00CC5886">
        <w:rPr>
          <w:szCs w:val="24"/>
          <w:lang w:val="ro-RO"/>
        </w:rPr>
        <w:t xml:space="preserve">: </w:t>
      </w:r>
      <w:proofErr w:type="spellStart"/>
      <w:r w:rsidRPr="00CC5886">
        <w:rPr>
          <w:szCs w:val="24"/>
          <w:lang w:val="ro-RO"/>
        </w:rPr>
        <w:t>Decreasing</w:t>
      </w:r>
      <w:proofErr w:type="spellEnd"/>
      <w:r w:rsidRPr="00CC5886">
        <w:rPr>
          <w:szCs w:val="24"/>
          <w:lang w:val="ro-RO"/>
        </w:rPr>
        <w:t xml:space="preserve"> Carbon </w:t>
      </w:r>
      <w:proofErr w:type="spellStart"/>
      <w:r w:rsidRPr="00CC5886">
        <w:rPr>
          <w:szCs w:val="24"/>
          <w:lang w:val="ro-RO"/>
        </w:rPr>
        <w:t>Intensity</w:t>
      </w:r>
      <w:proofErr w:type="spellEnd"/>
      <w:r w:rsidRPr="00CC5886">
        <w:rPr>
          <w:szCs w:val="24"/>
          <w:lang w:val="ro-RO"/>
        </w:rPr>
        <w:t xml:space="preserve"> of Urban Transport </w:t>
      </w:r>
      <w:proofErr w:type="spellStart"/>
      <w:r w:rsidRPr="00CC5886">
        <w:rPr>
          <w:szCs w:val="24"/>
          <w:lang w:val="ro-RO"/>
        </w:rPr>
        <w:t>by</w:t>
      </w:r>
      <w:proofErr w:type="spellEnd"/>
      <w:r w:rsidRPr="00CC5886">
        <w:rPr>
          <w:szCs w:val="24"/>
          <w:lang w:val="ro-RO"/>
        </w:rPr>
        <w:t xml:space="preserve"> </w:t>
      </w:r>
      <w:proofErr w:type="spellStart"/>
      <w:r w:rsidRPr="00CC5886">
        <w:rPr>
          <w:szCs w:val="24"/>
          <w:lang w:val="ro-RO"/>
        </w:rPr>
        <w:t>supporting</w:t>
      </w:r>
      <w:proofErr w:type="spellEnd"/>
      <w:r w:rsidRPr="00CC5886">
        <w:rPr>
          <w:szCs w:val="24"/>
          <w:lang w:val="ro-RO"/>
        </w:rPr>
        <w:t xml:space="preserve"> </w:t>
      </w:r>
      <w:proofErr w:type="spellStart"/>
      <w:r w:rsidRPr="00CC5886">
        <w:rPr>
          <w:szCs w:val="24"/>
          <w:lang w:val="ro-RO"/>
        </w:rPr>
        <w:t>Shift</w:t>
      </w:r>
      <w:proofErr w:type="spellEnd"/>
      <w:r w:rsidRPr="00CC5886">
        <w:rPr>
          <w:szCs w:val="24"/>
          <w:lang w:val="ro-RO"/>
        </w:rPr>
        <w:t xml:space="preserve"> </w:t>
      </w:r>
      <w:proofErr w:type="spellStart"/>
      <w:r w:rsidRPr="00CC5886">
        <w:rPr>
          <w:szCs w:val="24"/>
          <w:lang w:val="ro-RO"/>
        </w:rPr>
        <w:t>to</w:t>
      </w:r>
      <w:proofErr w:type="spellEnd"/>
      <w:r w:rsidRPr="00CC5886">
        <w:rPr>
          <w:szCs w:val="24"/>
          <w:lang w:val="ro-RO"/>
        </w:rPr>
        <w:t xml:space="preserve"> Active Urban </w:t>
      </w:r>
      <w:proofErr w:type="spellStart"/>
      <w:r w:rsidRPr="00CC5886">
        <w:rPr>
          <w:szCs w:val="24"/>
          <w:lang w:val="ro-RO"/>
        </w:rPr>
        <w:t>Mobility</w:t>
      </w:r>
      <w:proofErr w:type="spellEnd"/>
      <w:r w:rsidRPr="00CC5886">
        <w:rPr>
          <w:szCs w:val="24"/>
          <w:lang w:val="ro-RO"/>
        </w:rPr>
        <w:t xml:space="preserve"> </w:t>
      </w:r>
      <w:proofErr w:type="spellStart"/>
      <w:r w:rsidRPr="00CC5886">
        <w:rPr>
          <w:szCs w:val="24"/>
          <w:lang w:val="ro-RO"/>
        </w:rPr>
        <w:t>through</w:t>
      </w:r>
      <w:proofErr w:type="spellEnd"/>
      <w:r w:rsidRPr="00CC5886">
        <w:rPr>
          <w:szCs w:val="24"/>
          <w:lang w:val="ro-RO"/>
        </w:rPr>
        <w:t xml:space="preserve"> </w:t>
      </w:r>
      <w:proofErr w:type="spellStart"/>
      <w:r w:rsidRPr="00CC5886">
        <w:rPr>
          <w:szCs w:val="24"/>
          <w:lang w:val="ro-RO"/>
        </w:rPr>
        <w:t>rethinking</w:t>
      </w:r>
      <w:proofErr w:type="spellEnd"/>
      <w:r w:rsidRPr="00CC5886">
        <w:rPr>
          <w:szCs w:val="24"/>
          <w:lang w:val="ro-RO"/>
        </w:rPr>
        <w:t xml:space="preserve"> </w:t>
      </w:r>
      <w:proofErr w:type="spellStart"/>
      <w:r w:rsidRPr="00CC5886">
        <w:rPr>
          <w:szCs w:val="24"/>
          <w:lang w:val="ro-RO"/>
        </w:rPr>
        <w:t>street</w:t>
      </w:r>
      <w:proofErr w:type="spellEnd"/>
      <w:r w:rsidRPr="00CC5886">
        <w:rPr>
          <w:szCs w:val="24"/>
          <w:lang w:val="ro-RO"/>
        </w:rPr>
        <w:t xml:space="preserve"> design </w:t>
      </w:r>
      <w:proofErr w:type="spellStart"/>
      <w:r w:rsidRPr="00CC5886">
        <w:rPr>
          <w:szCs w:val="24"/>
          <w:lang w:val="ro-RO"/>
        </w:rPr>
        <w:t>and</w:t>
      </w:r>
      <w:proofErr w:type="spellEnd"/>
      <w:r w:rsidRPr="00CC5886">
        <w:rPr>
          <w:szCs w:val="24"/>
          <w:lang w:val="ro-RO"/>
        </w:rPr>
        <w:t xml:space="preserve"> </w:t>
      </w:r>
      <w:proofErr w:type="spellStart"/>
      <w:r w:rsidRPr="00CC5886">
        <w:rPr>
          <w:szCs w:val="24"/>
          <w:lang w:val="ro-RO"/>
        </w:rPr>
        <w:t>changing</w:t>
      </w:r>
      <w:proofErr w:type="spellEnd"/>
      <w:r w:rsidRPr="00CC5886">
        <w:rPr>
          <w:szCs w:val="24"/>
          <w:lang w:val="ro-RO"/>
        </w:rPr>
        <w:t xml:space="preserve"> </w:t>
      </w:r>
      <w:proofErr w:type="spellStart"/>
      <w:r w:rsidRPr="00CC5886">
        <w:rPr>
          <w:szCs w:val="24"/>
          <w:lang w:val="ro-RO"/>
        </w:rPr>
        <w:t>travel</w:t>
      </w:r>
      <w:proofErr w:type="spellEnd"/>
      <w:r w:rsidRPr="00CC5886">
        <w:rPr>
          <w:szCs w:val="24"/>
          <w:lang w:val="ro-RO"/>
        </w:rPr>
        <w:t xml:space="preserve"> </w:t>
      </w:r>
      <w:proofErr w:type="spellStart"/>
      <w:r w:rsidRPr="00CC5886">
        <w:rPr>
          <w:szCs w:val="24"/>
          <w:lang w:val="ro-RO"/>
        </w:rPr>
        <w:t>behaviour</w:t>
      </w:r>
      <w:proofErr w:type="spellEnd"/>
      <w:r w:rsidRPr="00CC5886">
        <w:rPr>
          <w:szCs w:val="24"/>
          <w:lang w:val="ro-RO"/>
        </w:rPr>
        <w:t>”, acronim CITYWALK 2.0, precum şi asigurarea fondurilor necesare implementării proiectului</w:t>
      </w:r>
    </w:p>
    <w:p w14:paraId="00AF838F" w14:textId="77777777" w:rsidR="00A06BA1" w:rsidRDefault="00A06BA1" w:rsidP="00FB480E">
      <w:pPr>
        <w:spacing w:after="0"/>
        <w:contextualSpacing/>
        <w:jc w:val="center"/>
        <w:rPr>
          <w:bCs/>
          <w:szCs w:val="24"/>
          <w:lang w:val="ro-RO"/>
        </w:rPr>
      </w:pPr>
    </w:p>
    <w:p w14:paraId="6523C001" w14:textId="77777777" w:rsidR="00AC4638" w:rsidRPr="004A744A" w:rsidRDefault="00AC4638" w:rsidP="00FB480E">
      <w:pPr>
        <w:spacing w:after="0"/>
        <w:contextualSpacing/>
        <w:jc w:val="center"/>
        <w:rPr>
          <w:bCs/>
          <w:szCs w:val="24"/>
          <w:lang w:val="ro-RO"/>
        </w:rPr>
      </w:pPr>
    </w:p>
    <w:p w14:paraId="6C3390BE" w14:textId="77777777" w:rsidR="001F46BE" w:rsidRPr="001F46BE" w:rsidRDefault="001F46BE" w:rsidP="001F46BE">
      <w:pPr>
        <w:spacing w:after="0"/>
        <w:ind w:firstLine="720"/>
        <w:jc w:val="both"/>
        <w:rPr>
          <w:rFonts w:eastAsia="Times New Roman"/>
          <w:szCs w:val="24"/>
          <w:lang w:val="ro-RO"/>
        </w:rPr>
      </w:pPr>
      <w:r w:rsidRPr="001F46BE">
        <w:rPr>
          <w:rFonts w:eastAsia="Times New Roman"/>
          <w:szCs w:val="24"/>
          <w:lang w:val="ro-RO"/>
        </w:rPr>
        <w:t>Municipiul Satu Mare este partener de proiect în cadrul proiectului „</w:t>
      </w:r>
      <w:proofErr w:type="spellStart"/>
      <w:r w:rsidRPr="001F46BE">
        <w:rPr>
          <w:rFonts w:eastAsia="Times New Roman"/>
          <w:szCs w:val="24"/>
          <w:lang w:val="ro-RO"/>
        </w:rPr>
        <w:t>Together</w:t>
      </w:r>
      <w:proofErr w:type="spellEnd"/>
      <w:r w:rsidRPr="001F46BE">
        <w:rPr>
          <w:rFonts w:eastAsia="Times New Roman"/>
          <w:szCs w:val="24"/>
          <w:lang w:val="ro-RO"/>
        </w:rPr>
        <w:t xml:space="preserve"> for Energy-</w:t>
      </w:r>
      <w:proofErr w:type="spellStart"/>
      <w:r w:rsidRPr="001F46BE">
        <w:rPr>
          <w:rFonts w:eastAsia="Times New Roman"/>
          <w:szCs w:val="24"/>
          <w:lang w:val="ro-RO"/>
        </w:rPr>
        <w:t>efficient</w:t>
      </w:r>
      <w:proofErr w:type="spellEnd"/>
      <w:r w:rsidRPr="001F46BE">
        <w:rPr>
          <w:rFonts w:eastAsia="Times New Roman"/>
          <w:szCs w:val="24"/>
          <w:lang w:val="ro-RO"/>
        </w:rPr>
        <w:t xml:space="preserve"> Urban </w:t>
      </w:r>
      <w:proofErr w:type="spellStart"/>
      <w:r w:rsidRPr="001F46BE">
        <w:rPr>
          <w:rFonts w:eastAsia="Times New Roman"/>
          <w:szCs w:val="24"/>
          <w:lang w:val="ro-RO"/>
        </w:rPr>
        <w:t>Mobility</w:t>
      </w:r>
      <w:proofErr w:type="spellEnd"/>
      <w:r w:rsidRPr="001F46BE">
        <w:rPr>
          <w:rFonts w:eastAsia="Times New Roman"/>
          <w:szCs w:val="24"/>
          <w:lang w:val="ro-RO"/>
        </w:rPr>
        <w:t xml:space="preserve">: </w:t>
      </w:r>
      <w:proofErr w:type="spellStart"/>
      <w:r w:rsidRPr="001F46BE">
        <w:rPr>
          <w:rFonts w:eastAsia="Times New Roman"/>
          <w:szCs w:val="24"/>
          <w:lang w:val="ro-RO"/>
        </w:rPr>
        <w:t>Decreasing</w:t>
      </w:r>
      <w:proofErr w:type="spellEnd"/>
      <w:r w:rsidRPr="001F46BE">
        <w:rPr>
          <w:rFonts w:eastAsia="Times New Roman"/>
          <w:szCs w:val="24"/>
          <w:lang w:val="ro-RO"/>
        </w:rPr>
        <w:t xml:space="preserve"> Carbon </w:t>
      </w:r>
      <w:proofErr w:type="spellStart"/>
      <w:r w:rsidRPr="001F46BE">
        <w:rPr>
          <w:rFonts w:eastAsia="Times New Roman"/>
          <w:szCs w:val="24"/>
          <w:lang w:val="ro-RO"/>
        </w:rPr>
        <w:t>Intensity</w:t>
      </w:r>
      <w:proofErr w:type="spellEnd"/>
      <w:r w:rsidRPr="001F46BE">
        <w:rPr>
          <w:rFonts w:eastAsia="Times New Roman"/>
          <w:szCs w:val="24"/>
          <w:lang w:val="ro-RO"/>
        </w:rPr>
        <w:t xml:space="preserve"> of Urban Transport </w:t>
      </w:r>
      <w:proofErr w:type="spellStart"/>
      <w:r w:rsidRPr="001F46BE">
        <w:rPr>
          <w:rFonts w:eastAsia="Times New Roman"/>
          <w:szCs w:val="24"/>
          <w:lang w:val="ro-RO"/>
        </w:rPr>
        <w:t>by</w:t>
      </w:r>
      <w:proofErr w:type="spellEnd"/>
      <w:r w:rsidRPr="001F46BE">
        <w:rPr>
          <w:rFonts w:eastAsia="Times New Roman"/>
          <w:szCs w:val="24"/>
          <w:lang w:val="ro-RO"/>
        </w:rPr>
        <w:t xml:space="preserve"> </w:t>
      </w:r>
      <w:proofErr w:type="spellStart"/>
      <w:r w:rsidRPr="001F46BE">
        <w:rPr>
          <w:rFonts w:eastAsia="Times New Roman"/>
          <w:szCs w:val="24"/>
          <w:lang w:val="ro-RO"/>
        </w:rPr>
        <w:t>supporting</w:t>
      </w:r>
      <w:proofErr w:type="spellEnd"/>
      <w:r w:rsidRPr="001F46BE">
        <w:rPr>
          <w:rFonts w:eastAsia="Times New Roman"/>
          <w:szCs w:val="24"/>
          <w:lang w:val="ro-RO"/>
        </w:rPr>
        <w:t xml:space="preserve"> </w:t>
      </w:r>
      <w:proofErr w:type="spellStart"/>
      <w:r w:rsidRPr="001F46BE">
        <w:rPr>
          <w:rFonts w:eastAsia="Times New Roman"/>
          <w:szCs w:val="24"/>
          <w:lang w:val="ro-RO"/>
        </w:rPr>
        <w:t>Shift</w:t>
      </w:r>
      <w:proofErr w:type="spellEnd"/>
      <w:r w:rsidRPr="001F46BE">
        <w:rPr>
          <w:rFonts w:eastAsia="Times New Roman"/>
          <w:szCs w:val="24"/>
          <w:lang w:val="ro-RO"/>
        </w:rPr>
        <w:t xml:space="preserve"> </w:t>
      </w:r>
      <w:proofErr w:type="spellStart"/>
      <w:r w:rsidRPr="001F46BE">
        <w:rPr>
          <w:rFonts w:eastAsia="Times New Roman"/>
          <w:szCs w:val="24"/>
          <w:lang w:val="ro-RO"/>
        </w:rPr>
        <w:t>to</w:t>
      </w:r>
      <w:proofErr w:type="spellEnd"/>
      <w:r w:rsidRPr="001F46BE">
        <w:rPr>
          <w:rFonts w:eastAsia="Times New Roman"/>
          <w:szCs w:val="24"/>
          <w:lang w:val="ro-RO"/>
        </w:rPr>
        <w:t xml:space="preserve"> Active Urban </w:t>
      </w:r>
      <w:proofErr w:type="spellStart"/>
      <w:r w:rsidRPr="001F46BE">
        <w:rPr>
          <w:rFonts w:eastAsia="Times New Roman"/>
          <w:szCs w:val="24"/>
          <w:lang w:val="ro-RO"/>
        </w:rPr>
        <w:t>Mobility</w:t>
      </w:r>
      <w:proofErr w:type="spellEnd"/>
      <w:r w:rsidRPr="001F46BE">
        <w:rPr>
          <w:rFonts w:eastAsia="Times New Roman"/>
          <w:szCs w:val="24"/>
          <w:lang w:val="ro-RO"/>
        </w:rPr>
        <w:t xml:space="preserve"> </w:t>
      </w:r>
      <w:proofErr w:type="spellStart"/>
      <w:r w:rsidRPr="001F46BE">
        <w:rPr>
          <w:rFonts w:eastAsia="Times New Roman"/>
          <w:szCs w:val="24"/>
          <w:lang w:val="ro-RO"/>
        </w:rPr>
        <w:t>through</w:t>
      </w:r>
      <w:proofErr w:type="spellEnd"/>
      <w:r w:rsidRPr="001F46BE">
        <w:rPr>
          <w:rFonts w:eastAsia="Times New Roman"/>
          <w:szCs w:val="24"/>
          <w:lang w:val="ro-RO"/>
        </w:rPr>
        <w:t xml:space="preserve"> </w:t>
      </w:r>
      <w:proofErr w:type="spellStart"/>
      <w:r w:rsidRPr="001F46BE">
        <w:rPr>
          <w:rFonts w:eastAsia="Times New Roman"/>
          <w:szCs w:val="24"/>
          <w:lang w:val="ro-RO"/>
        </w:rPr>
        <w:t>rethinking</w:t>
      </w:r>
      <w:proofErr w:type="spellEnd"/>
      <w:r w:rsidRPr="001F46BE">
        <w:rPr>
          <w:rFonts w:eastAsia="Times New Roman"/>
          <w:szCs w:val="24"/>
          <w:lang w:val="ro-RO"/>
        </w:rPr>
        <w:t xml:space="preserve"> </w:t>
      </w:r>
      <w:proofErr w:type="spellStart"/>
      <w:r w:rsidRPr="001F46BE">
        <w:rPr>
          <w:rFonts w:eastAsia="Times New Roman"/>
          <w:szCs w:val="24"/>
          <w:lang w:val="ro-RO"/>
        </w:rPr>
        <w:t>street</w:t>
      </w:r>
      <w:proofErr w:type="spellEnd"/>
      <w:r w:rsidRPr="001F46BE">
        <w:rPr>
          <w:rFonts w:eastAsia="Times New Roman"/>
          <w:szCs w:val="24"/>
          <w:lang w:val="ro-RO"/>
        </w:rPr>
        <w:t xml:space="preserve"> design </w:t>
      </w:r>
      <w:proofErr w:type="spellStart"/>
      <w:r w:rsidRPr="001F46BE">
        <w:rPr>
          <w:rFonts w:eastAsia="Times New Roman"/>
          <w:szCs w:val="24"/>
          <w:lang w:val="ro-RO"/>
        </w:rPr>
        <w:t>and</w:t>
      </w:r>
      <w:proofErr w:type="spellEnd"/>
      <w:r w:rsidRPr="001F46BE">
        <w:rPr>
          <w:rFonts w:eastAsia="Times New Roman"/>
          <w:szCs w:val="24"/>
          <w:lang w:val="ro-RO"/>
        </w:rPr>
        <w:t xml:space="preserve"> </w:t>
      </w:r>
      <w:proofErr w:type="spellStart"/>
      <w:r w:rsidRPr="001F46BE">
        <w:rPr>
          <w:rFonts w:eastAsia="Times New Roman"/>
          <w:szCs w:val="24"/>
          <w:lang w:val="ro-RO"/>
        </w:rPr>
        <w:t>changing</w:t>
      </w:r>
      <w:proofErr w:type="spellEnd"/>
      <w:r w:rsidRPr="001F46BE">
        <w:rPr>
          <w:rFonts w:eastAsia="Times New Roman"/>
          <w:szCs w:val="24"/>
          <w:lang w:val="ro-RO"/>
        </w:rPr>
        <w:t xml:space="preserve"> </w:t>
      </w:r>
      <w:proofErr w:type="spellStart"/>
      <w:r w:rsidRPr="001F46BE">
        <w:rPr>
          <w:rFonts w:eastAsia="Times New Roman"/>
          <w:szCs w:val="24"/>
          <w:lang w:val="ro-RO"/>
        </w:rPr>
        <w:t>travel</w:t>
      </w:r>
      <w:proofErr w:type="spellEnd"/>
      <w:r w:rsidRPr="001F46BE">
        <w:rPr>
          <w:rFonts w:eastAsia="Times New Roman"/>
          <w:szCs w:val="24"/>
          <w:lang w:val="ro-RO"/>
        </w:rPr>
        <w:t xml:space="preserve"> </w:t>
      </w:r>
      <w:proofErr w:type="spellStart"/>
      <w:r w:rsidRPr="001F46BE">
        <w:rPr>
          <w:rFonts w:eastAsia="Times New Roman"/>
          <w:szCs w:val="24"/>
          <w:lang w:val="ro-RO"/>
        </w:rPr>
        <w:t>behaviour</w:t>
      </w:r>
      <w:proofErr w:type="spellEnd"/>
      <w:r w:rsidRPr="001F46BE">
        <w:rPr>
          <w:rFonts w:eastAsia="Times New Roman"/>
          <w:szCs w:val="24"/>
          <w:lang w:val="ro-RO"/>
        </w:rPr>
        <w:t xml:space="preserve">”, acronim CITYWALK 2.0, finanţat în cadrul Programului Interreg pentru Regiunea Dunării. Cei 14 parteneri din 10 țări din Regiunea Dunării compun un parteneriat sinergic, profesional, adaptat pentru obiectivele proiectului din punct de vedere geografic, tip de partener și expertiză. 4 furnizori de cunoștințe și 10 parteneri teritoriali asigură echilibrul dintre cunoștințele necesare, pilotarea și propunerile de politici publice. </w:t>
      </w:r>
    </w:p>
    <w:p w14:paraId="018AE49C" w14:textId="77777777" w:rsidR="001F46BE" w:rsidRDefault="001F46BE" w:rsidP="001F46BE">
      <w:pPr>
        <w:spacing w:after="0"/>
        <w:jc w:val="both"/>
        <w:rPr>
          <w:rFonts w:eastAsia="Times New Roman"/>
          <w:szCs w:val="24"/>
          <w:lang w:val="ro-RO"/>
        </w:rPr>
      </w:pPr>
    </w:p>
    <w:p w14:paraId="1144BEF7" w14:textId="0E0F71BC" w:rsidR="001F46BE" w:rsidRPr="001F46BE" w:rsidRDefault="001F46BE" w:rsidP="001F46BE">
      <w:pPr>
        <w:spacing w:after="0"/>
        <w:ind w:firstLine="720"/>
        <w:jc w:val="both"/>
        <w:rPr>
          <w:rFonts w:eastAsia="Times New Roman"/>
          <w:szCs w:val="24"/>
          <w:lang w:val="ro-RO"/>
        </w:rPr>
      </w:pPr>
      <w:r w:rsidRPr="001F46BE">
        <w:rPr>
          <w:rFonts w:eastAsia="Times New Roman"/>
          <w:szCs w:val="24"/>
          <w:lang w:val="ro-RO"/>
        </w:rPr>
        <w:t>Obiectivul general al proiectului este scăderea consumului de energie și a emisiilor de carbon prin sprijinirea trecerii la un tip de mobilitate urbană activă, respectiv la moduri de mobilitate durabilă (mers pe jos, cu bicicleta, transport public). Acest lucru ar contribui la reducerea emisiilor de GES și de poluanți atmosferici, precum şi îmbunătățirea calității aerului. Abordarea proiectului are în vedere utilizarea de soluții rapide, ieftine, prietenoase pentru cetățeni, într-un mod holistic, în acord cu principiile Pactului ecologic european.</w:t>
      </w:r>
    </w:p>
    <w:p w14:paraId="0E556E62" w14:textId="77777777" w:rsidR="001F46BE" w:rsidRDefault="001F46BE" w:rsidP="001F46BE">
      <w:pPr>
        <w:spacing w:after="0"/>
        <w:jc w:val="both"/>
        <w:rPr>
          <w:rFonts w:eastAsia="Times New Roman"/>
          <w:szCs w:val="24"/>
          <w:lang w:val="ro-RO"/>
        </w:rPr>
      </w:pPr>
    </w:p>
    <w:p w14:paraId="2360BAC8" w14:textId="342F1C17" w:rsidR="00D23AFF" w:rsidRDefault="001F46BE" w:rsidP="001F46BE">
      <w:pPr>
        <w:spacing w:after="0"/>
        <w:ind w:firstLine="720"/>
        <w:jc w:val="both"/>
        <w:rPr>
          <w:rFonts w:eastAsia="Times New Roman"/>
          <w:szCs w:val="24"/>
          <w:lang w:val="ro-RO"/>
        </w:rPr>
      </w:pPr>
      <w:r w:rsidRPr="001F46BE">
        <w:rPr>
          <w:rFonts w:eastAsia="Times New Roman"/>
          <w:szCs w:val="24"/>
          <w:lang w:val="ro-RO"/>
        </w:rPr>
        <w:t>Proiectul se concentrează pe implementarea transformărilor propuse atât la nivel de oraș, cât și de cetățean. Elementele cheie ale proiectului CITYWALK 2.0 sunt reproiectarea străzilor pentru a încuraja mobilitatea activă și a descuraja utilizarea mașinilor, schimbarea comportamentului de călătorie al cetățenilor și consolidarea voinței și angajamentului factorilor interesaţi.</w:t>
      </w:r>
    </w:p>
    <w:p w14:paraId="104A8F07" w14:textId="77777777" w:rsidR="00CC5886" w:rsidRDefault="00CC5886" w:rsidP="001F46BE">
      <w:pPr>
        <w:spacing w:after="0"/>
        <w:ind w:firstLine="720"/>
        <w:jc w:val="both"/>
        <w:rPr>
          <w:rFonts w:eastAsia="Times New Roman"/>
          <w:szCs w:val="24"/>
          <w:lang w:val="ro-RO"/>
        </w:rPr>
      </w:pPr>
    </w:p>
    <w:p w14:paraId="0423226E" w14:textId="1C441D7B" w:rsidR="00CC5886" w:rsidRPr="00CC5886" w:rsidRDefault="00CC5886" w:rsidP="00CC5886">
      <w:pPr>
        <w:spacing w:after="0"/>
        <w:ind w:firstLine="720"/>
        <w:jc w:val="both"/>
        <w:rPr>
          <w:rFonts w:eastAsia="Times New Roman"/>
          <w:szCs w:val="24"/>
          <w:lang w:val="ro-RO"/>
        </w:rPr>
      </w:pPr>
      <w:r>
        <w:rPr>
          <w:rFonts w:eastAsia="Times New Roman"/>
          <w:szCs w:val="24"/>
          <w:lang w:val="ro-RO"/>
        </w:rPr>
        <w:t>V</w:t>
      </w:r>
      <w:r w:rsidRPr="00CC5886">
        <w:rPr>
          <w:rFonts w:eastAsia="Times New Roman"/>
          <w:szCs w:val="24"/>
          <w:lang w:val="ro-RO"/>
        </w:rPr>
        <w:t xml:space="preserve">aloarea maximă eligibilă a proiectului de 160.000,00 EUR inclusiv TVA, din care: </w:t>
      </w:r>
    </w:p>
    <w:p w14:paraId="52EC8CF5" w14:textId="40C78B58" w:rsidR="00CC5886" w:rsidRPr="00CC5886" w:rsidRDefault="00CC5886" w:rsidP="00CC5886">
      <w:pPr>
        <w:spacing w:after="0"/>
        <w:ind w:firstLine="720"/>
        <w:jc w:val="both"/>
        <w:rPr>
          <w:rFonts w:eastAsia="Times New Roman"/>
          <w:szCs w:val="24"/>
          <w:lang w:val="ro-RO"/>
        </w:rPr>
      </w:pPr>
      <w:r w:rsidRPr="00CC5886">
        <w:rPr>
          <w:rFonts w:eastAsia="Times New Roman"/>
          <w:szCs w:val="24"/>
          <w:lang w:val="ro-RO"/>
        </w:rPr>
        <w:t>-</w:t>
      </w:r>
      <w:r w:rsidRPr="00CC5886">
        <w:rPr>
          <w:rFonts w:eastAsia="Times New Roman"/>
          <w:szCs w:val="24"/>
          <w:lang w:val="ro-RO"/>
        </w:rPr>
        <w:tab/>
        <w:t>fonduri Interreg</w:t>
      </w:r>
      <w:r w:rsidR="000C37F6">
        <w:rPr>
          <w:rFonts w:eastAsia="Times New Roman"/>
          <w:szCs w:val="24"/>
          <w:lang w:val="ro-RO"/>
        </w:rPr>
        <w:t>:</w:t>
      </w:r>
      <w:r w:rsidRPr="00CC5886">
        <w:rPr>
          <w:rFonts w:eastAsia="Times New Roman"/>
          <w:szCs w:val="24"/>
          <w:lang w:val="ro-RO"/>
        </w:rPr>
        <w:t xml:space="preserve"> 128.000,00 EUR inclusiv TVA</w:t>
      </w:r>
    </w:p>
    <w:p w14:paraId="57E87948" w14:textId="4239757A" w:rsidR="00CC5886" w:rsidRPr="00CC5886" w:rsidRDefault="00CC5886" w:rsidP="00CC5886">
      <w:pPr>
        <w:spacing w:after="0"/>
        <w:ind w:firstLine="720"/>
        <w:jc w:val="both"/>
        <w:rPr>
          <w:rFonts w:eastAsia="Times New Roman"/>
          <w:szCs w:val="24"/>
          <w:lang w:val="ro-RO"/>
        </w:rPr>
      </w:pPr>
      <w:r w:rsidRPr="00CC5886">
        <w:rPr>
          <w:rFonts w:eastAsia="Times New Roman"/>
          <w:szCs w:val="24"/>
          <w:lang w:val="ro-RO"/>
        </w:rPr>
        <w:t>-</w:t>
      </w:r>
      <w:r w:rsidRPr="00CC5886">
        <w:rPr>
          <w:rFonts w:eastAsia="Times New Roman"/>
          <w:szCs w:val="24"/>
          <w:lang w:val="ro-RO"/>
        </w:rPr>
        <w:tab/>
        <w:t>contribuţia naţională</w:t>
      </w:r>
      <w:r w:rsidR="000C37F6">
        <w:rPr>
          <w:rFonts w:eastAsia="Times New Roman"/>
          <w:szCs w:val="24"/>
          <w:lang w:val="ro-RO"/>
        </w:rPr>
        <w:t>:</w:t>
      </w:r>
      <w:r w:rsidRPr="00CC5886">
        <w:rPr>
          <w:rFonts w:eastAsia="Times New Roman"/>
          <w:szCs w:val="24"/>
          <w:lang w:val="ro-RO"/>
        </w:rPr>
        <w:t xml:space="preserve"> 28.800,00 EUR inclusiv TVA</w:t>
      </w:r>
    </w:p>
    <w:p w14:paraId="7F1A0A76" w14:textId="315CA03D" w:rsidR="00CC5886" w:rsidRPr="001F46BE" w:rsidRDefault="00CC5886" w:rsidP="00CC5886">
      <w:pPr>
        <w:spacing w:after="0"/>
        <w:ind w:firstLine="720"/>
        <w:jc w:val="both"/>
        <w:rPr>
          <w:rFonts w:eastAsia="Times New Roman"/>
          <w:szCs w:val="24"/>
          <w:lang w:val="ro-RO"/>
        </w:rPr>
      </w:pPr>
      <w:r w:rsidRPr="00CC5886">
        <w:rPr>
          <w:rFonts w:eastAsia="Times New Roman"/>
          <w:szCs w:val="24"/>
          <w:lang w:val="ro-RO"/>
        </w:rPr>
        <w:t>-</w:t>
      </w:r>
      <w:r w:rsidRPr="00CC5886">
        <w:rPr>
          <w:rFonts w:eastAsia="Times New Roman"/>
          <w:szCs w:val="24"/>
          <w:lang w:val="ro-RO"/>
        </w:rPr>
        <w:tab/>
        <w:t>contribuţia proprie</w:t>
      </w:r>
      <w:r w:rsidR="000C37F6">
        <w:rPr>
          <w:rFonts w:eastAsia="Times New Roman"/>
          <w:szCs w:val="24"/>
          <w:lang w:val="ro-RO"/>
        </w:rPr>
        <w:t>:</w:t>
      </w:r>
      <w:r w:rsidRPr="00CC5886">
        <w:rPr>
          <w:rFonts w:eastAsia="Times New Roman"/>
          <w:szCs w:val="24"/>
          <w:lang w:val="ro-RO"/>
        </w:rPr>
        <w:t xml:space="preserve"> 3.200,00 EUR inclusiv TVA.</w:t>
      </w:r>
    </w:p>
    <w:p w14:paraId="69F2A674" w14:textId="77777777" w:rsidR="001F46BE" w:rsidRDefault="001F46BE" w:rsidP="001F46BE">
      <w:pPr>
        <w:spacing w:after="0"/>
        <w:contextualSpacing/>
        <w:jc w:val="both"/>
        <w:rPr>
          <w:szCs w:val="24"/>
          <w:lang w:val="ro-RO"/>
        </w:rPr>
      </w:pPr>
    </w:p>
    <w:p w14:paraId="3A714535" w14:textId="5040190C" w:rsidR="000C37F6" w:rsidRDefault="000C37F6" w:rsidP="001F46BE">
      <w:pPr>
        <w:spacing w:after="0"/>
        <w:ind w:firstLine="720"/>
        <w:contextualSpacing/>
        <w:jc w:val="both"/>
        <w:rPr>
          <w:szCs w:val="24"/>
          <w:lang w:val="ro-RO"/>
        </w:rPr>
      </w:pPr>
      <w:r w:rsidRPr="000C37F6">
        <w:rPr>
          <w:szCs w:val="24"/>
          <w:lang w:val="ro-RO"/>
        </w:rPr>
        <w:lastRenderedPageBreak/>
        <w:t xml:space="preserve">Sumele vor fi asigurate în </w:t>
      </w:r>
      <w:r w:rsidRPr="001C1CB5">
        <w:rPr>
          <w:szCs w:val="24"/>
          <w:lang w:val="ro-RO"/>
        </w:rPr>
        <w:t xml:space="preserve">Secţiunea de dezvoltare a bugetului local la Capitolul 70.02 “Locuinţe, servicii şi dezvoltare publică”, </w:t>
      </w:r>
      <w:r w:rsidR="00EC0516" w:rsidRPr="00EC0516">
        <w:rPr>
          <w:szCs w:val="24"/>
          <w:lang w:val="ro-RO"/>
        </w:rPr>
        <w:t>titlul VIII</w:t>
      </w:r>
      <w:r w:rsidR="00EC0516">
        <w:rPr>
          <w:szCs w:val="24"/>
          <w:lang w:val="ro-RO"/>
        </w:rPr>
        <w:t xml:space="preserve"> „</w:t>
      </w:r>
      <w:r w:rsidR="00EC0516" w:rsidRPr="00EC0516">
        <w:rPr>
          <w:szCs w:val="24"/>
          <w:lang w:val="ro-RO"/>
        </w:rPr>
        <w:t>Proiecte cu finan</w:t>
      </w:r>
      <w:r w:rsidR="00EC0516">
        <w:rPr>
          <w:szCs w:val="24"/>
          <w:lang w:val="ro-RO"/>
        </w:rPr>
        <w:t>ţ</w:t>
      </w:r>
      <w:r w:rsidR="00EC0516" w:rsidRPr="00EC0516">
        <w:rPr>
          <w:szCs w:val="24"/>
          <w:lang w:val="ro-RO"/>
        </w:rPr>
        <w:t xml:space="preserve">are din fonduri externe nerambursabile FEN </w:t>
      </w:r>
      <w:proofErr w:type="spellStart"/>
      <w:r w:rsidR="00EC0516" w:rsidRPr="00EC0516">
        <w:rPr>
          <w:szCs w:val="24"/>
          <w:lang w:val="ro-RO"/>
        </w:rPr>
        <w:t>postaderare</w:t>
      </w:r>
      <w:proofErr w:type="spellEnd"/>
      <w:r w:rsidR="00EC0516">
        <w:rPr>
          <w:szCs w:val="24"/>
          <w:lang w:val="ro-RO"/>
        </w:rPr>
        <w:t>”</w:t>
      </w:r>
      <w:r w:rsidRPr="000C37F6">
        <w:rPr>
          <w:szCs w:val="24"/>
          <w:lang w:val="ro-RO"/>
        </w:rPr>
        <w:t>, urmând a fi recuperate în baza cererilor de rambursare întocmite de către Primăria Municipiului Satu Mare.</w:t>
      </w:r>
    </w:p>
    <w:p w14:paraId="434BABD2" w14:textId="77777777" w:rsidR="000C37F6" w:rsidRDefault="000C37F6" w:rsidP="001F46BE">
      <w:pPr>
        <w:spacing w:after="0"/>
        <w:ind w:firstLine="720"/>
        <w:contextualSpacing/>
        <w:jc w:val="both"/>
        <w:rPr>
          <w:szCs w:val="24"/>
          <w:lang w:val="ro-RO"/>
        </w:rPr>
      </w:pPr>
    </w:p>
    <w:p w14:paraId="26705650" w14:textId="5154BA05" w:rsidR="00A06BA1" w:rsidRPr="004A744A" w:rsidRDefault="00AC4638" w:rsidP="001F46BE">
      <w:pPr>
        <w:spacing w:after="0"/>
        <w:ind w:firstLine="720"/>
        <w:contextualSpacing/>
        <w:jc w:val="both"/>
        <w:rPr>
          <w:szCs w:val="24"/>
          <w:lang w:val="ro-RO"/>
        </w:rPr>
      </w:pPr>
      <w:r>
        <w:rPr>
          <w:szCs w:val="24"/>
          <w:lang w:val="ro-RO"/>
        </w:rPr>
        <w:t>Ţ</w:t>
      </w:r>
      <w:r w:rsidR="004A744A">
        <w:rPr>
          <w:szCs w:val="24"/>
          <w:lang w:val="ro-RO"/>
        </w:rPr>
        <w:t xml:space="preserve">inând cont de cele prezentate </w:t>
      </w:r>
      <w:r w:rsidR="00A06BA1" w:rsidRPr="004A744A">
        <w:rPr>
          <w:szCs w:val="24"/>
          <w:lang w:val="ro-RO"/>
        </w:rPr>
        <w:t xml:space="preserve">mai sus, </w:t>
      </w:r>
      <w:r w:rsidR="004A744A">
        <w:rPr>
          <w:szCs w:val="24"/>
          <w:lang w:val="ro-RO"/>
        </w:rPr>
        <w:t>proiectul de hotărâre se înaintează Consiliului Local al Municipiului Satu Mare cu propunere de aprobare.</w:t>
      </w:r>
    </w:p>
    <w:p w14:paraId="3EAC14C1" w14:textId="77777777" w:rsidR="00A06BA1" w:rsidRDefault="00A06BA1" w:rsidP="00FB480E">
      <w:pPr>
        <w:spacing w:after="0"/>
        <w:contextualSpacing/>
        <w:jc w:val="center"/>
        <w:rPr>
          <w:szCs w:val="24"/>
          <w:lang w:val="ro-RO"/>
        </w:rPr>
      </w:pPr>
    </w:p>
    <w:p w14:paraId="435C8E0A" w14:textId="77777777" w:rsidR="00464740" w:rsidRDefault="00464740" w:rsidP="00FB480E">
      <w:pPr>
        <w:spacing w:after="0"/>
        <w:contextualSpacing/>
        <w:jc w:val="center"/>
        <w:rPr>
          <w:szCs w:val="24"/>
          <w:lang w:val="ro-RO"/>
        </w:rPr>
      </w:pPr>
    </w:p>
    <w:p w14:paraId="3C8555B0" w14:textId="77777777" w:rsidR="00464740" w:rsidRPr="004A744A" w:rsidRDefault="00464740" w:rsidP="00FB480E">
      <w:pPr>
        <w:spacing w:after="0"/>
        <w:contextualSpacing/>
        <w:jc w:val="center"/>
        <w:rPr>
          <w:szCs w:val="24"/>
          <w:lang w:val="ro-RO"/>
        </w:rPr>
      </w:pPr>
    </w:p>
    <w:p w14:paraId="6AA4F3D9" w14:textId="2A1B000D" w:rsidR="00A06BA1" w:rsidRPr="004A744A" w:rsidRDefault="00A06BA1" w:rsidP="00FB480E">
      <w:pPr>
        <w:spacing w:after="0" w:line="240" w:lineRule="auto"/>
        <w:contextualSpacing/>
        <w:rPr>
          <w:szCs w:val="24"/>
          <w:lang w:val="it-IT"/>
        </w:rPr>
      </w:pPr>
      <w:r w:rsidRPr="004A744A">
        <w:rPr>
          <w:rFonts w:eastAsia="Times New Roman"/>
          <w:szCs w:val="24"/>
          <w:lang w:val="ro-RO"/>
        </w:rPr>
        <w:t xml:space="preserve">            </w:t>
      </w:r>
      <w:r w:rsidRPr="004A744A">
        <w:rPr>
          <w:szCs w:val="24"/>
          <w:lang w:val="it-IT"/>
        </w:rPr>
        <w:t xml:space="preserve">   </w:t>
      </w:r>
      <w:r w:rsidR="004A744A">
        <w:rPr>
          <w:szCs w:val="24"/>
          <w:lang w:val="it-IT"/>
        </w:rPr>
        <w:t>Director executiv</w:t>
      </w:r>
      <w:r w:rsidRPr="004A744A">
        <w:rPr>
          <w:szCs w:val="24"/>
          <w:lang w:val="it-IT"/>
        </w:rPr>
        <w:tab/>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Şef Serviciu</w:t>
      </w:r>
    </w:p>
    <w:p w14:paraId="552BAD76" w14:textId="1D2D7F07" w:rsidR="00A06BA1" w:rsidRPr="004A744A" w:rsidRDefault="00A06BA1" w:rsidP="00FB480E">
      <w:pPr>
        <w:spacing w:after="0" w:line="240" w:lineRule="auto"/>
        <w:contextualSpacing/>
        <w:rPr>
          <w:szCs w:val="24"/>
          <w:lang w:val="it-IT"/>
        </w:rPr>
      </w:pPr>
      <w:r w:rsidRPr="004A744A">
        <w:rPr>
          <w:szCs w:val="24"/>
          <w:lang w:val="it-IT"/>
        </w:rPr>
        <w:t xml:space="preserve">             </w:t>
      </w:r>
      <w:r w:rsidR="004A744A">
        <w:rPr>
          <w:szCs w:val="24"/>
          <w:lang w:val="it-IT"/>
        </w:rPr>
        <w:t xml:space="preserve">    Ec. Ursu Lucia</w:t>
      </w:r>
      <w:r w:rsidRPr="004A744A">
        <w:rPr>
          <w:szCs w:val="24"/>
          <w:lang w:val="it-IT"/>
        </w:rPr>
        <w:tab/>
      </w:r>
      <w:r w:rsidRPr="004A744A">
        <w:rPr>
          <w:szCs w:val="24"/>
          <w:lang w:val="it-IT"/>
        </w:rPr>
        <w:tab/>
      </w:r>
      <w:r w:rsidRPr="004A744A">
        <w:rPr>
          <w:szCs w:val="24"/>
          <w:lang w:val="it-IT"/>
        </w:rPr>
        <w:tab/>
      </w:r>
      <w:r w:rsidRPr="004A744A">
        <w:rPr>
          <w:szCs w:val="24"/>
          <w:lang w:val="it-IT"/>
        </w:rPr>
        <w:tab/>
      </w:r>
      <w:r w:rsidR="004A744A">
        <w:rPr>
          <w:szCs w:val="24"/>
          <w:lang w:val="it-IT"/>
        </w:rPr>
        <w:t xml:space="preserve">           Dr. Sveda Andrea</w:t>
      </w:r>
    </w:p>
    <w:p w14:paraId="7801D1F8" w14:textId="795ED62D" w:rsidR="003A0AAB" w:rsidRPr="004A744A" w:rsidRDefault="003A0AAB" w:rsidP="00FB480E">
      <w:pPr>
        <w:spacing w:after="0" w:line="240" w:lineRule="auto"/>
        <w:contextualSpacing/>
        <w:jc w:val="center"/>
        <w:rPr>
          <w:rFonts w:ascii="Times New Roman CE" w:hAnsi="Times New Roman CE"/>
          <w:szCs w:val="24"/>
        </w:rPr>
      </w:pPr>
    </w:p>
    <w:sectPr w:rsidR="003A0AAB" w:rsidRPr="004A744A">
      <w:footerReference w:type="default" r:id="rId9"/>
      <w:pgSz w:w="12240" w:h="15840"/>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2F36F" w14:textId="77777777" w:rsidR="0040125A" w:rsidRDefault="0040125A" w:rsidP="0011506A">
      <w:pPr>
        <w:spacing w:after="0" w:line="240" w:lineRule="auto"/>
      </w:pPr>
      <w:r>
        <w:separator/>
      </w:r>
    </w:p>
  </w:endnote>
  <w:endnote w:type="continuationSeparator" w:id="0">
    <w:p w14:paraId="2DA7CFAA" w14:textId="77777777" w:rsidR="0040125A" w:rsidRDefault="0040125A"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71688" w:rsidRDefault="0011506A">
    <w:pPr>
      <w:pStyle w:val="Footer"/>
      <w:rPr>
        <w:sz w:val="18"/>
        <w:szCs w:val="18"/>
        <w:lang w:val="ro-RO"/>
      </w:rPr>
    </w:pPr>
    <w:r w:rsidRPr="00571688">
      <w:rPr>
        <w:sz w:val="18"/>
        <w:szCs w:val="18"/>
        <w:lang w:val="ro-RO"/>
      </w:rPr>
      <w:t>Întocmit,</w:t>
    </w:r>
  </w:p>
  <w:p w14:paraId="1A07CA22" w14:textId="2D709413" w:rsidR="0011506A" w:rsidRPr="00571688" w:rsidRDefault="00980C19">
    <w:pPr>
      <w:pStyle w:val="Footer"/>
      <w:rPr>
        <w:sz w:val="18"/>
        <w:szCs w:val="18"/>
        <w:lang w:val="ro-RO"/>
      </w:rPr>
    </w:pPr>
    <w:r>
      <w:rPr>
        <w:sz w:val="18"/>
        <w:szCs w:val="18"/>
        <w:lang w:val="ro-RO"/>
      </w:rPr>
      <w:t>Cons. Mirela Pinte</w:t>
    </w:r>
    <w:r w:rsidR="0011506A" w:rsidRPr="00571688">
      <w:rPr>
        <w:sz w:val="18"/>
        <w:szCs w:val="18"/>
        <w:lang w:val="ro-RO"/>
      </w:rPr>
      <w:t>, 2</w:t>
    </w:r>
    <w:r>
      <w:rPr>
        <w:sz w:val="18"/>
        <w:szCs w:val="18"/>
        <w:lang w:val="ro-RO"/>
      </w:rPr>
      <w:t xml:space="preserve"> e</w:t>
    </w:r>
    <w:r w:rsidR="0011506A" w:rsidRPr="00571688">
      <w:rPr>
        <w:sz w:val="18"/>
        <w:szCs w:val="18"/>
        <w:lang w:val="ro-RO"/>
      </w:rPr>
      <w:t>x</w:t>
    </w:r>
    <w:r>
      <w:rPr>
        <w:sz w:val="18"/>
        <w:szCs w:val="18"/>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14CAB" w14:textId="77777777" w:rsidR="0040125A" w:rsidRDefault="0040125A" w:rsidP="0011506A">
      <w:pPr>
        <w:spacing w:after="0" w:line="240" w:lineRule="auto"/>
      </w:pPr>
      <w:r>
        <w:separator/>
      </w:r>
    </w:p>
  </w:footnote>
  <w:footnote w:type="continuationSeparator" w:id="0">
    <w:p w14:paraId="6D523F7C" w14:textId="77777777" w:rsidR="0040125A" w:rsidRDefault="0040125A"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3D355A9F"/>
    <w:multiLevelType w:val="multilevel"/>
    <w:tmpl w:val="AF0A9C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565A0C7E"/>
    <w:multiLevelType w:val="multilevel"/>
    <w:tmpl w:val="BA3650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0C575E5"/>
    <w:multiLevelType w:val="hybridMultilevel"/>
    <w:tmpl w:val="3C0E3A2A"/>
    <w:lvl w:ilvl="0" w:tplc="10B08044">
      <w:start w:val="3"/>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865291893">
    <w:abstractNumId w:val="3"/>
  </w:num>
  <w:num w:numId="2" w16cid:durableId="1857697639">
    <w:abstractNumId w:val="5"/>
  </w:num>
  <w:num w:numId="3" w16cid:durableId="562059127">
    <w:abstractNumId w:val="0"/>
  </w:num>
  <w:num w:numId="4" w16cid:durableId="24791246">
    <w:abstractNumId w:val="2"/>
  </w:num>
  <w:num w:numId="5" w16cid:durableId="1662270350">
    <w:abstractNumId w:val="1"/>
  </w:num>
  <w:num w:numId="6" w16cid:durableId="954797632">
    <w:abstractNumId w:val="4"/>
  </w:num>
  <w:num w:numId="7" w16cid:durableId="19069864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A74"/>
    <w:rsid w:val="00021BE9"/>
    <w:rsid w:val="000268E2"/>
    <w:rsid w:val="00041F27"/>
    <w:rsid w:val="000B2A5A"/>
    <w:rsid w:val="000C37F6"/>
    <w:rsid w:val="000E00C1"/>
    <w:rsid w:val="00100D79"/>
    <w:rsid w:val="0011506A"/>
    <w:rsid w:val="00121F18"/>
    <w:rsid w:val="0012469E"/>
    <w:rsid w:val="001255D2"/>
    <w:rsid w:val="00145838"/>
    <w:rsid w:val="00165CF5"/>
    <w:rsid w:val="00197734"/>
    <w:rsid w:val="001B16F7"/>
    <w:rsid w:val="001C1CB5"/>
    <w:rsid w:val="001D6D04"/>
    <w:rsid w:val="001F46BE"/>
    <w:rsid w:val="00214540"/>
    <w:rsid w:val="0023220D"/>
    <w:rsid w:val="00253F20"/>
    <w:rsid w:val="0029180E"/>
    <w:rsid w:val="002C2E3A"/>
    <w:rsid w:val="002C72BA"/>
    <w:rsid w:val="002D2A09"/>
    <w:rsid w:val="002E1760"/>
    <w:rsid w:val="0032769B"/>
    <w:rsid w:val="003323AD"/>
    <w:rsid w:val="00342196"/>
    <w:rsid w:val="00342D74"/>
    <w:rsid w:val="00347E2B"/>
    <w:rsid w:val="00354014"/>
    <w:rsid w:val="003728E0"/>
    <w:rsid w:val="00374884"/>
    <w:rsid w:val="00381BE2"/>
    <w:rsid w:val="00385F3F"/>
    <w:rsid w:val="00394011"/>
    <w:rsid w:val="003A0AAB"/>
    <w:rsid w:val="003B45BF"/>
    <w:rsid w:val="003B5B29"/>
    <w:rsid w:val="003B604D"/>
    <w:rsid w:val="003B6AB4"/>
    <w:rsid w:val="003C0545"/>
    <w:rsid w:val="003F4570"/>
    <w:rsid w:val="0040125A"/>
    <w:rsid w:val="0041269B"/>
    <w:rsid w:val="00455A5A"/>
    <w:rsid w:val="00457625"/>
    <w:rsid w:val="00464740"/>
    <w:rsid w:val="004A744A"/>
    <w:rsid w:val="004C29AD"/>
    <w:rsid w:val="004E5EFF"/>
    <w:rsid w:val="004F495F"/>
    <w:rsid w:val="00510624"/>
    <w:rsid w:val="005265DB"/>
    <w:rsid w:val="00527EF2"/>
    <w:rsid w:val="005309BE"/>
    <w:rsid w:val="005430E2"/>
    <w:rsid w:val="005460E0"/>
    <w:rsid w:val="0056264A"/>
    <w:rsid w:val="00564BA3"/>
    <w:rsid w:val="00571688"/>
    <w:rsid w:val="005C1A09"/>
    <w:rsid w:val="005C694A"/>
    <w:rsid w:val="005D4CF4"/>
    <w:rsid w:val="005E4927"/>
    <w:rsid w:val="005E521B"/>
    <w:rsid w:val="005F0262"/>
    <w:rsid w:val="005F29DB"/>
    <w:rsid w:val="006028EF"/>
    <w:rsid w:val="006312CA"/>
    <w:rsid w:val="00652C29"/>
    <w:rsid w:val="00690489"/>
    <w:rsid w:val="006A4013"/>
    <w:rsid w:val="006C08E0"/>
    <w:rsid w:val="006D7D47"/>
    <w:rsid w:val="007018DE"/>
    <w:rsid w:val="0076530D"/>
    <w:rsid w:val="00780DA8"/>
    <w:rsid w:val="00787EE9"/>
    <w:rsid w:val="00793E3A"/>
    <w:rsid w:val="007C23BA"/>
    <w:rsid w:val="007E19F9"/>
    <w:rsid w:val="007F5953"/>
    <w:rsid w:val="007F693F"/>
    <w:rsid w:val="008025AD"/>
    <w:rsid w:val="008071A3"/>
    <w:rsid w:val="00817751"/>
    <w:rsid w:val="0083133C"/>
    <w:rsid w:val="00837AE1"/>
    <w:rsid w:val="008508EC"/>
    <w:rsid w:val="008A1469"/>
    <w:rsid w:val="008E13B6"/>
    <w:rsid w:val="008F1DE3"/>
    <w:rsid w:val="009035DD"/>
    <w:rsid w:val="00907F5D"/>
    <w:rsid w:val="0091315E"/>
    <w:rsid w:val="009344C4"/>
    <w:rsid w:val="009349AD"/>
    <w:rsid w:val="00977C08"/>
    <w:rsid w:val="00980C19"/>
    <w:rsid w:val="00984001"/>
    <w:rsid w:val="009C0A99"/>
    <w:rsid w:val="00A05DF9"/>
    <w:rsid w:val="00A0690F"/>
    <w:rsid w:val="00A06BA1"/>
    <w:rsid w:val="00A21C9E"/>
    <w:rsid w:val="00A46881"/>
    <w:rsid w:val="00A65AB4"/>
    <w:rsid w:val="00A67504"/>
    <w:rsid w:val="00A73A74"/>
    <w:rsid w:val="00A77EE3"/>
    <w:rsid w:val="00A809ED"/>
    <w:rsid w:val="00A9143A"/>
    <w:rsid w:val="00AA3864"/>
    <w:rsid w:val="00AB3E46"/>
    <w:rsid w:val="00AB3F4E"/>
    <w:rsid w:val="00AC2332"/>
    <w:rsid w:val="00AC4638"/>
    <w:rsid w:val="00B03F4B"/>
    <w:rsid w:val="00B34B73"/>
    <w:rsid w:val="00B67C3F"/>
    <w:rsid w:val="00B7276D"/>
    <w:rsid w:val="00B842C4"/>
    <w:rsid w:val="00BF6460"/>
    <w:rsid w:val="00BF709A"/>
    <w:rsid w:val="00C76948"/>
    <w:rsid w:val="00C928B1"/>
    <w:rsid w:val="00CA126B"/>
    <w:rsid w:val="00CA4C71"/>
    <w:rsid w:val="00CC0859"/>
    <w:rsid w:val="00CC0F11"/>
    <w:rsid w:val="00CC3D47"/>
    <w:rsid w:val="00CC5886"/>
    <w:rsid w:val="00CD6509"/>
    <w:rsid w:val="00CE7579"/>
    <w:rsid w:val="00CF2204"/>
    <w:rsid w:val="00D10187"/>
    <w:rsid w:val="00D23AFF"/>
    <w:rsid w:val="00D33D62"/>
    <w:rsid w:val="00D35BD1"/>
    <w:rsid w:val="00D4359A"/>
    <w:rsid w:val="00D47905"/>
    <w:rsid w:val="00D92CA5"/>
    <w:rsid w:val="00D93E45"/>
    <w:rsid w:val="00DA15FA"/>
    <w:rsid w:val="00DB17C6"/>
    <w:rsid w:val="00DC2909"/>
    <w:rsid w:val="00DD7600"/>
    <w:rsid w:val="00DE1CE2"/>
    <w:rsid w:val="00DF0A7B"/>
    <w:rsid w:val="00DF2E97"/>
    <w:rsid w:val="00E0509D"/>
    <w:rsid w:val="00E24F5B"/>
    <w:rsid w:val="00E3290A"/>
    <w:rsid w:val="00E65F93"/>
    <w:rsid w:val="00E76087"/>
    <w:rsid w:val="00E8731C"/>
    <w:rsid w:val="00EC0516"/>
    <w:rsid w:val="00F2051E"/>
    <w:rsid w:val="00F231C9"/>
    <w:rsid w:val="00F4029F"/>
    <w:rsid w:val="00F43958"/>
    <w:rsid w:val="00F508E7"/>
    <w:rsid w:val="00F66A49"/>
    <w:rsid w:val="00FB480E"/>
    <w:rsid w:val="00FF2462"/>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ABD850CD-81BA-4B2D-82C2-1052B77C1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 w:type="paragraph" w:customStyle="1" w:styleId="ui-datalist-item">
    <w:name w:val="ui-datalist-item"/>
    <w:basedOn w:val="Normal"/>
    <w:rsid w:val="00510624"/>
    <w:pPr>
      <w:spacing w:before="100" w:beforeAutospacing="1" w:after="100" w:afterAutospacing="1" w:line="240" w:lineRule="auto"/>
    </w:pPr>
    <w:rPr>
      <w:rFonts w:eastAsia="Times New Roman"/>
      <w:szCs w:val="24"/>
      <w:lang w:val="ro-RO"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67380">
      <w:bodyDiv w:val="1"/>
      <w:marLeft w:val="0"/>
      <w:marRight w:val="0"/>
      <w:marTop w:val="0"/>
      <w:marBottom w:val="0"/>
      <w:divBdr>
        <w:top w:val="none" w:sz="0" w:space="0" w:color="auto"/>
        <w:left w:val="none" w:sz="0" w:space="0" w:color="auto"/>
        <w:bottom w:val="none" w:sz="0" w:space="0" w:color="auto"/>
        <w:right w:val="none" w:sz="0" w:space="0" w:color="auto"/>
      </w:divBdr>
    </w:div>
    <w:div w:id="682165917">
      <w:bodyDiv w:val="1"/>
      <w:marLeft w:val="0"/>
      <w:marRight w:val="0"/>
      <w:marTop w:val="0"/>
      <w:marBottom w:val="0"/>
      <w:divBdr>
        <w:top w:val="none" w:sz="0" w:space="0" w:color="auto"/>
        <w:left w:val="none" w:sz="0" w:space="0" w:color="auto"/>
        <w:bottom w:val="none" w:sz="0" w:space="0" w:color="auto"/>
        <w:right w:val="none" w:sz="0" w:space="0" w:color="auto"/>
      </w:divBdr>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 w:id="14354394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4108A398-09F0-4820-BE81-7900937080C0}">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477</Words>
  <Characters>2767</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11</cp:revision>
  <cp:lastPrinted>2019-03-26T12:58:00Z</cp:lastPrinted>
  <dcterms:created xsi:type="dcterms:W3CDTF">2023-07-18T09:06:00Z</dcterms:created>
  <dcterms:modified xsi:type="dcterms:W3CDTF">2024-04-03T09:09:00Z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