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7789" w14:textId="77777777" w:rsidR="00577341" w:rsidRPr="00F55455" w:rsidRDefault="00577341"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PRIMĂRIA MUNICIPIULUI SATU MARE</w:t>
      </w:r>
    </w:p>
    <w:p w14:paraId="3184A7A0" w14:textId="77777777" w:rsidR="00577341" w:rsidRPr="00F55455" w:rsidRDefault="00577341"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SERVICIUL INVESTIȚII,  GOSPODĂRIRE – ÎNTREȚINERE</w:t>
      </w:r>
    </w:p>
    <w:p w14:paraId="491F6B7C" w14:textId="77777777" w:rsidR="00577341" w:rsidRPr="00F55455" w:rsidRDefault="00577341"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DIRECŢIA ECONOMICĂ</w:t>
      </w:r>
    </w:p>
    <w:p w14:paraId="556B3D07" w14:textId="0B51760A" w:rsidR="00577341" w:rsidRPr="00F55455" w:rsidRDefault="00577341" w:rsidP="00577341">
      <w:pPr>
        <w:pStyle w:val="PlainText"/>
        <w:jc w:val="both"/>
        <w:rPr>
          <w:rFonts w:ascii="Times New Roman" w:hAnsi="Times New Roman" w:cs="Times New Roman"/>
          <w:b/>
          <w:sz w:val="22"/>
          <w:szCs w:val="22"/>
        </w:rPr>
      </w:pPr>
      <w:r w:rsidRPr="00F55455">
        <w:rPr>
          <w:rFonts w:ascii="Times New Roman" w:hAnsi="Times New Roman" w:cs="Times New Roman"/>
          <w:sz w:val="22"/>
          <w:szCs w:val="22"/>
        </w:rPr>
        <w:t xml:space="preserve">NR. </w:t>
      </w:r>
      <w:r w:rsidR="00097056" w:rsidRPr="00097056">
        <w:rPr>
          <w:rFonts w:ascii="Times New Roman" w:hAnsi="Times New Roman" w:cs="Times New Roman"/>
          <w:sz w:val="22"/>
          <w:szCs w:val="22"/>
        </w:rPr>
        <w:t>42472 / 17.07.2024</w:t>
      </w:r>
    </w:p>
    <w:p w14:paraId="0E110C3D" w14:textId="77777777" w:rsidR="00577341" w:rsidRPr="00F55455" w:rsidRDefault="00577341" w:rsidP="00577341">
      <w:pPr>
        <w:pStyle w:val="PlainText"/>
        <w:jc w:val="both"/>
        <w:rPr>
          <w:rFonts w:ascii="Times New Roman" w:hAnsi="Times New Roman" w:cs="Times New Roman"/>
          <w:b/>
          <w:sz w:val="22"/>
          <w:szCs w:val="22"/>
        </w:rPr>
      </w:pPr>
    </w:p>
    <w:p w14:paraId="3F0F39B5" w14:textId="2BE6100C" w:rsidR="00577341" w:rsidRPr="00F55455" w:rsidRDefault="00577341" w:rsidP="00577341">
      <w:pPr>
        <w:pStyle w:val="PlainText"/>
        <w:jc w:val="both"/>
        <w:rPr>
          <w:rFonts w:ascii="Times New Roman" w:hAnsi="Times New Roman" w:cs="Times New Roman"/>
          <w:b/>
          <w:sz w:val="22"/>
          <w:szCs w:val="22"/>
        </w:rPr>
      </w:pPr>
    </w:p>
    <w:p w14:paraId="46259B69" w14:textId="77777777" w:rsidR="00577341" w:rsidRPr="00F55455" w:rsidRDefault="00577341" w:rsidP="00FD46F1">
      <w:pPr>
        <w:autoSpaceDE w:val="0"/>
        <w:autoSpaceDN w:val="0"/>
        <w:adjustRightInd w:val="0"/>
        <w:spacing w:after="0" w:line="240" w:lineRule="auto"/>
        <w:ind w:firstLine="720"/>
        <w:jc w:val="both"/>
        <w:rPr>
          <w:sz w:val="22"/>
        </w:rPr>
      </w:pPr>
      <w:r w:rsidRPr="00F55455">
        <w:rPr>
          <w:sz w:val="22"/>
        </w:rPr>
        <w:t xml:space="preserve">În temeiul prevederilor art.136 alin. (8) lit. b) din OUG nr. 57/2019 privind Codul Administrativ, cu modificările și completările ulterioare,  </w:t>
      </w:r>
    </w:p>
    <w:p w14:paraId="2BC7F000" w14:textId="1FDE2DE2" w:rsidR="00577341" w:rsidRDefault="00577341" w:rsidP="00FD46F1">
      <w:pPr>
        <w:spacing w:after="0" w:line="240" w:lineRule="auto"/>
        <w:ind w:firstLine="720"/>
        <w:jc w:val="both"/>
        <w:rPr>
          <w:sz w:val="22"/>
        </w:rPr>
      </w:pPr>
      <w:r w:rsidRPr="00F55455">
        <w:rPr>
          <w:sz w:val="22"/>
        </w:rPr>
        <w:t xml:space="preserve">Serviciul </w:t>
      </w:r>
      <w:bookmarkStart w:id="0" w:name="_Hlk85714663"/>
      <w:r w:rsidRPr="00F55455">
        <w:rPr>
          <w:sz w:val="22"/>
        </w:rPr>
        <w:t>Investiții</w:t>
      </w:r>
      <w:r w:rsidR="003D6181" w:rsidRPr="00F55455">
        <w:rPr>
          <w:sz w:val="22"/>
        </w:rPr>
        <w:t xml:space="preserve"> </w:t>
      </w:r>
      <w:r w:rsidRPr="00F55455">
        <w:rPr>
          <w:sz w:val="22"/>
        </w:rPr>
        <w:t>Gospodărire</w:t>
      </w:r>
      <w:r w:rsidR="003D6181" w:rsidRPr="00F55455">
        <w:rPr>
          <w:sz w:val="22"/>
        </w:rPr>
        <w:t xml:space="preserve"> </w:t>
      </w:r>
      <w:r w:rsidRPr="00F55455">
        <w:rPr>
          <w:sz w:val="22"/>
        </w:rPr>
        <w:t>Întreținere</w:t>
      </w:r>
      <w:bookmarkEnd w:id="0"/>
      <w:r w:rsidRPr="00F55455">
        <w:rPr>
          <w:sz w:val="22"/>
        </w:rPr>
        <w:t>, și Directorul Executiv al Direcției economice  formulează următorul:</w:t>
      </w:r>
    </w:p>
    <w:p w14:paraId="2992FBF6" w14:textId="77777777" w:rsidR="00FD46F1" w:rsidRPr="00F55455" w:rsidRDefault="00FD46F1" w:rsidP="00FD46F1">
      <w:pPr>
        <w:spacing w:after="0" w:line="240" w:lineRule="auto"/>
        <w:ind w:firstLine="720"/>
        <w:jc w:val="both"/>
        <w:rPr>
          <w:sz w:val="22"/>
        </w:rPr>
      </w:pPr>
    </w:p>
    <w:p w14:paraId="1BE15A8B" w14:textId="161A7C84" w:rsidR="00A73A74" w:rsidRPr="00F55455" w:rsidRDefault="00F55455" w:rsidP="00FD46F1">
      <w:pPr>
        <w:pStyle w:val="PlainText"/>
        <w:jc w:val="center"/>
        <w:rPr>
          <w:rFonts w:ascii="Times New Roman" w:hAnsi="Times New Roman" w:cs="Times New Roman"/>
          <w:b/>
          <w:sz w:val="22"/>
          <w:szCs w:val="22"/>
        </w:rPr>
      </w:pPr>
      <w:r w:rsidRPr="00F55455">
        <w:rPr>
          <w:rFonts w:ascii="Times New Roman" w:hAnsi="Times New Roman" w:cs="Times New Roman"/>
          <w:b/>
          <w:sz w:val="22"/>
          <w:szCs w:val="22"/>
        </w:rPr>
        <w:t>R</w:t>
      </w:r>
      <w:r w:rsidR="001D6D04" w:rsidRPr="00F55455">
        <w:rPr>
          <w:rFonts w:ascii="Times New Roman" w:hAnsi="Times New Roman" w:cs="Times New Roman"/>
          <w:b/>
          <w:sz w:val="22"/>
          <w:szCs w:val="22"/>
        </w:rPr>
        <w:t>APORT DE SPECIALITATE</w:t>
      </w:r>
    </w:p>
    <w:p w14:paraId="74E8B80B" w14:textId="77777777" w:rsidR="003363D5" w:rsidRPr="00F55455" w:rsidRDefault="003363D5" w:rsidP="00F55455">
      <w:pPr>
        <w:pStyle w:val="PlainText"/>
        <w:spacing w:line="360" w:lineRule="auto"/>
        <w:jc w:val="center"/>
        <w:rPr>
          <w:rFonts w:ascii="Times New Roman" w:hAnsi="Times New Roman" w:cs="Times New Roman"/>
          <w:b/>
          <w:sz w:val="22"/>
          <w:szCs w:val="22"/>
        </w:rPr>
      </w:pPr>
    </w:p>
    <w:p w14:paraId="38D47457" w14:textId="577DBB93" w:rsidR="00FF6CC7" w:rsidRDefault="001D6D04" w:rsidP="00FF6CC7">
      <w:pPr>
        <w:autoSpaceDE w:val="0"/>
        <w:autoSpaceDN w:val="0"/>
        <w:adjustRightInd w:val="0"/>
        <w:spacing w:after="0" w:line="360" w:lineRule="auto"/>
        <w:ind w:firstLine="720"/>
        <w:jc w:val="both"/>
        <w:rPr>
          <w:sz w:val="22"/>
        </w:rPr>
      </w:pPr>
      <w:bookmarkStart w:id="1" w:name="_Hlk31894888"/>
      <w:r w:rsidRPr="00F55455">
        <w:rPr>
          <w:sz w:val="22"/>
        </w:rPr>
        <w:t>l</w:t>
      </w:r>
      <w:r w:rsidR="00121F18" w:rsidRPr="00F55455">
        <w:rPr>
          <w:sz w:val="22"/>
        </w:rPr>
        <w:t xml:space="preserve">a proiectul </w:t>
      </w:r>
      <w:bookmarkEnd w:id="1"/>
      <w:r w:rsidR="00B61E51" w:rsidRPr="00F55455">
        <w:rPr>
          <w:sz w:val="22"/>
        </w:rPr>
        <w:t xml:space="preserve">de hotărâre </w:t>
      </w:r>
      <w:bookmarkStart w:id="2" w:name="_Hlk113624312"/>
      <w:bookmarkStart w:id="3" w:name="_Hlk113624251"/>
      <w:r w:rsidR="00FF6CC7" w:rsidRPr="00FF6CC7">
        <w:rPr>
          <w:sz w:val="22"/>
        </w:rPr>
        <w:t>privind modificarea Anexei 1.1 si Anexa 2 la H</w:t>
      </w:r>
      <w:r w:rsidR="003443C1">
        <w:rPr>
          <w:sz w:val="22"/>
        </w:rPr>
        <w:t>.</w:t>
      </w:r>
      <w:r w:rsidR="00FF6CC7" w:rsidRPr="00FF6CC7">
        <w:rPr>
          <w:sz w:val="22"/>
        </w:rPr>
        <w:t>C</w:t>
      </w:r>
      <w:r w:rsidR="003443C1">
        <w:rPr>
          <w:sz w:val="22"/>
        </w:rPr>
        <w:t>.</w:t>
      </w:r>
      <w:r w:rsidR="00FF6CC7" w:rsidRPr="00FF6CC7">
        <w:rPr>
          <w:sz w:val="22"/>
        </w:rPr>
        <w:t>L</w:t>
      </w:r>
      <w:r w:rsidR="003443C1">
        <w:rPr>
          <w:sz w:val="22"/>
        </w:rPr>
        <w:t>.</w:t>
      </w:r>
      <w:r w:rsidR="00FF6CC7" w:rsidRPr="00FF6CC7">
        <w:rPr>
          <w:sz w:val="22"/>
        </w:rPr>
        <w:t xml:space="preserve"> </w:t>
      </w:r>
      <w:r w:rsidR="0059197B">
        <w:rPr>
          <w:sz w:val="22"/>
        </w:rPr>
        <w:t xml:space="preserve">nr. </w:t>
      </w:r>
      <w:r w:rsidR="00FF6CC7" w:rsidRPr="00FF6CC7">
        <w:rPr>
          <w:sz w:val="22"/>
        </w:rPr>
        <w:t>252/31.08.2023</w:t>
      </w:r>
      <w:r w:rsidR="00FF6CC7">
        <w:rPr>
          <w:sz w:val="22"/>
        </w:rPr>
        <w:t>.</w:t>
      </w:r>
    </w:p>
    <w:p w14:paraId="4FABE394" w14:textId="77777777" w:rsidR="004D4A21" w:rsidRDefault="004D4A21" w:rsidP="00FF6CC7">
      <w:pPr>
        <w:autoSpaceDE w:val="0"/>
        <w:autoSpaceDN w:val="0"/>
        <w:adjustRightInd w:val="0"/>
        <w:spacing w:after="0" w:line="360" w:lineRule="auto"/>
        <w:ind w:firstLine="720"/>
        <w:jc w:val="both"/>
        <w:rPr>
          <w:sz w:val="22"/>
        </w:rPr>
      </w:pPr>
    </w:p>
    <w:p w14:paraId="0376A9B8" w14:textId="3C663E82" w:rsidR="00CB6FA0" w:rsidRDefault="00FF6CC7" w:rsidP="00FF6CC7">
      <w:pPr>
        <w:autoSpaceDE w:val="0"/>
        <w:autoSpaceDN w:val="0"/>
        <w:adjustRightInd w:val="0"/>
        <w:spacing w:after="0" w:line="360" w:lineRule="auto"/>
        <w:ind w:firstLine="720"/>
        <w:jc w:val="both"/>
        <w:rPr>
          <w:b/>
          <w:sz w:val="22"/>
        </w:rPr>
      </w:pPr>
      <w:r>
        <w:rPr>
          <w:sz w:val="22"/>
        </w:rPr>
        <w:t xml:space="preserve">Prin </w:t>
      </w:r>
      <w:r w:rsidRPr="00FF6CC7">
        <w:rPr>
          <w:sz w:val="22"/>
        </w:rPr>
        <w:t>H</w:t>
      </w:r>
      <w:r w:rsidR="003443C1">
        <w:rPr>
          <w:sz w:val="22"/>
        </w:rPr>
        <w:t>.</w:t>
      </w:r>
      <w:r w:rsidRPr="00FF6CC7">
        <w:rPr>
          <w:sz w:val="22"/>
        </w:rPr>
        <w:t>C</w:t>
      </w:r>
      <w:r w:rsidR="003443C1">
        <w:rPr>
          <w:sz w:val="22"/>
        </w:rPr>
        <w:t>.</w:t>
      </w:r>
      <w:r w:rsidRPr="00FF6CC7">
        <w:rPr>
          <w:sz w:val="22"/>
        </w:rPr>
        <w:t>L</w:t>
      </w:r>
      <w:r w:rsidR="003443C1">
        <w:rPr>
          <w:sz w:val="22"/>
        </w:rPr>
        <w:t>.</w:t>
      </w:r>
      <w:r w:rsidRPr="00FF6CC7">
        <w:rPr>
          <w:sz w:val="22"/>
        </w:rPr>
        <w:t xml:space="preserve"> </w:t>
      </w:r>
      <w:r w:rsidR="0059197B">
        <w:rPr>
          <w:sz w:val="22"/>
        </w:rPr>
        <w:t xml:space="preserve">nr. </w:t>
      </w:r>
      <w:r w:rsidRPr="00FF6CC7">
        <w:rPr>
          <w:sz w:val="22"/>
        </w:rPr>
        <w:t>252/31.08.2023</w:t>
      </w:r>
      <w:r>
        <w:rPr>
          <w:sz w:val="22"/>
        </w:rPr>
        <w:t xml:space="preserve"> au fost aprobate</w:t>
      </w:r>
      <w:r w:rsidR="00681A42" w:rsidRPr="00F55455">
        <w:rPr>
          <w:sz w:val="22"/>
        </w:rPr>
        <w:t xml:space="preserve"> </w:t>
      </w:r>
      <w:bookmarkStart w:id="4" w:name="_Hlk115682851"/>
      <w:r w:rsidR="00681A42" w:rsidRPr="00F55455">
        <w:rPr>
          <w:sz w:val="22"/>
        </w:rPr>
        <w:t>Studiul de fezabilitate, indicatori</w:t>
      </w:r>
      <w:r>
        <w:rPr>
          <w:sz w:val="22"/>
        </w:rPr>
        <w:t>i</w:t>
      </w:r>
      <w:r w:rsidR="00681A42" w:rsidRPr="00F55455">
        <w:rPr>
          <w:sz w:val="22"/>
        </w:rPr>
        <w:t xml:space="preserve"> tehnico-economici</w:t>
      </w:r>
      <w:r>
        <w:rPr>
          <w:sz w:val="22"/>
        </w:rPr>
        <w:t xml:space="preserve"> precum și </w:t>
      </w:r>
      <w:r w:rsidR="00681A42" w:rsidRPr="00F55455">
        <w:rPr>
          <w:sz w:val="22"/>
        </w:rPr>
        <w:t xml:space="preserve">devizul general actualizat  pentru obiectivul de investiții </w:t>
      </w:r>
      <w:r w:rsidR="001121C8" w:rsidRPr="001121C8">
        <w:rPr>
          <w:b/>
          <w:bCs/>
          <w:sz w:val="22"/>
        </w:rPr>
        <w:t>Reabilitare colector de analizare</w:t>
      </w:r>
      <w:r w:rsidR="00681A42" w:rsidRPr="00F55455">
        <w:rPr>
          <w:sz w:val="22"/>
        </w:rPr>
        <w:t>,</w:t>
      </w:r>
      <w:bookmarkEnd w:id="4"/>
      <w:r w:rsidR="007E29F0">
        <w:rPr>
          <w:sz w:val="22"/>
        </w:rPr>
        <w:t xml:space="preserve"> </w:t>
      </w:r>
      <w:r w:rsidR="00681A42" w:rsidRPr="00F55455">
        <w:rPr>
          <w:sz w:val="22"/>
        </w:rPr>
        <w:t xml:space="preserve">aprobat pentru finanțare prin Programul național de investiții „Anghel Saligny”, precum și a sumei reprezentând categoriile de cheltuieli finanțate de la bugetul local pentru realizarea </w:t>
      </w:r>
      <w:r w:rsidR="006155DD">
        <w:rPr>
          <w:sz w:val="22"/>
        </w:rPr>
        <w:t xml:space="preserve">acestui </w:t>
      </w:r>
      <w:r w:rsidR="00681A42" w:rsidRPr="00F55455">
        <w:rPr>
          <w:sz w:val="22"/>
        </w:rPr>
        <w:t>obiectiv de investiție</w:t>
      </w:r>
      <w:bookmarkEnd w:id="2"/>
      <w:bookmarkEnd w:id="3"/>
      <w:r w:rsidR="006155DD">
        <w:rPr>
          <w:sz w:val="22"/>
        </w:rPr>
        <w:t>.</w:t>
      </w:r>
    </w:p>
    <w:p w14:paraId="19878478" w14:textId="60791404" w:rsidR="00577341" w:rsidRDefault="00B61E51" w:rsidP="00FD46F1">
      <w:pPr>
        <w:autoSpaceDE w:val="0"/>
        <w:autoSpaceDN w:val="0"/>
        <w:adjustRightInd w:val="0"/>
        <w:spacing w:after="0" w:line="360" w:lineRule="auto"/>
        <w:ind w:firstLine="720"/>
        <w:jc w:val="both"/>
        <w:rPr>
          <w:bCs/>
          <w:iCs/>
          <w:sz w:val="22"/>
        </w:rPr>
      </w:pPr>
      <w:bookmarkStart w:id="5" w:name="_Hlk31895780"/>
      <w:bookmarkStart w:id="6" w:name="_Hlk22796876"/>
      <w:r w:rsidRPr="00F55455">
        <w:rPr>
          <w:sz w:val="22"/>
        </w:rPr>
        <w:t>Având în vedere ghidul de finanțare a obiectivelor de investiții finanța</w:t>
      </w:r>
      <w:r w:rsidR="005C4C18" w:rsidRPr="00F55455">
        <w:rPr>
          <w:sz w:val="22"/>
        </w:rPr>
        <w:t>t</w:t>
      </w:r>
      <w:r w:rsidRPr="00F55455">
        <w:rPr>
          <w:sz w:val="22"/>
        </w:rPr>
        <w:t xml:space="preserve">e prin programul național ”Anghel Saligny” precum și Memorandumul intern cu nr. 89659/01.08.2022 publicat de către </w:t>
      </w:r>
      <w:r w:rsidR="00577341" w:rsidRPr="00F55455">
        <w:rPr>
          <w:bCs/>
          <w:iCs/>
          <w:sz w:val="22"/>
        </w:rPr>
        <w:t>Ministerul Dezvoltării, Lucrărilor Publice și Administrației</w:t>
      </w:r>
      <w:r w:rsidRPr="00F55455">
        <w:rPr>
          <w:bCs/>
          <w:iCs/>
          <w:sz w:val="22"/>
        </w:rPr>
        <w:t xml:space="preserve">, </w:t>
      </w:r>
      <w:r w:rsidR="006155DD">
        <w:rPr>
          <w:bCs/>
          <w:iCs/>
          <w:sz w:val="22"/>
        </w:rPr>
        <w:t>a fost</w:t>
      </w:r>
      <w:r w:rsidRPr="00F55455">
        <w:rPr>
          <w:bCs/>
          <w:iCs/>
          <w:sz w:val="22"/>
        </w:rPr>
        <w:t xml:space="preserve"> necesar</w:t>
      </w:r>
      <w:r w:rsidR="005C4C18" w:rsidRPr="00F55455">
        <w:rPr>
          <w:bCs/>
          <w:iCs/>
          <w:sz w:val="22"/>
        </w:rPr>
        <w:t>ă</w:t>
      </w:r>
      <w:r w:rsidRPr="00F55455">
        <w:rPr>
          <w:bCs/>
          <w:iCs/>
          <w:sz w:val="22"/>
        </w:rPr>
        <w:t xml:space="preserve"> aprobarea indicatorilor tehnico-economici</w:t>
      </w:r>
      <w:r w:rsidR="007E29F0">
        <w:rPr>
          <w:bCs/>
          <w:iCs/>
          <w:sz w:val="22"/>
        </w:rPr>
        <w:t>,</w:t>
      </w:r>
      <w:r w:rsidRPr="00F55455">
        <w:rPr>
          <w:bCs/>
          <w:iCs/>
          <w:sz w:val="22"/>
        </w:rPr>
        <w:t xml:space="preserve"> actualizați</w:t>
      </w:r>
      <w:r w:rsidR="005C4C18" w:rsidRPr="00F55455">
        <w:rPr>
          <w:bCs/>
          <w:iCs/>
          <w:sz w:val="22"/>
        </w:rPr>
        <w:t>,</w:t>
      </w:r>
      <w:r w:rsidRPr="00F55455">
        <w:rPr>
          <w:bCs/>
          <w:iCs/>
          <w:sz w:val="22"/>
        </w:rPr>
        <w:t xml:space="preserve"> a Devizului General actualizat precum și transpunerea Devizului General prevăzut în cadrul Hotărârii de Guvern 907/2016</w:t>
      </w:r>
      <w:r w:rsidR="006155DD">
        <w:rPr>
          <w:bCs/>
          <w:iCs/>
          <w:sz w:val="22"/>
        </w:rPr>
        <w:t>,</w:t>
      </w:r>
      <w:r w:rsidRPr="00F55455">
        <w:rPr>
          <w:bCs/>
          <w:iCs/>
          <w:sz w:val="22"/>
        </w:rPr>
        <w:t xml:space="preserve"> în formatul aprobat pentru </w:t>
      </w:r>
      <w:r w:rsidRPr="00F55455">
        <w:rPr>
          <w:sz w:val="22"/>
        </w:rPr>
        <w:t>programul național ”Anghel Saligny”</w:t>
      </w:r>
      <w:r w:rsidR="00010865" w:rsidRPr="00F55455">
        <w:rPr>
          <w:bCs/>
          <w:iCs/>
          <w:sz w:val="22"/>
        </w:rPr>
        <w:t>.</w:t>
      </w:r>
    </w:p>
    <w:p w14:paraId="76EFA639" w14:textId="77777777" w:rsidR="004D4A21" w:rsidRPr="00F55455" w:rsidRDefault="004D4A21" w:rsidP="00FD46F1">
      <w:pPr>
        <w:autoSpaceDE w:val="0"/>
        <w:autoSpaceDN w:val="0"/>
        <w:adjustRightInd w:val="0"/>
        <w:spacing w:after="0" w:line="360" w:lineRule="auto"/>
        <w:ind w:firstLine="720"/>
        <w:jc w:val="both"/>
        <w:rPr>
          <w:bCs/>
          <w:iCs/>
          <w:sz w:val="22"/>
        </w:rPr>
      </w:pPr>
    </w:p>
    <w:p w14:paraId="76C62975" w14:textId="27860510" w:rsidR="007E29F0" w:rsidRDefault="00A5397F" w:rsidP="00FD46F1">
      <w:pPr>
        <w:autoSpaceDE w:val="0"/>
        <w:autoSpaceDN w:val="0"/>
        <w:adjustRightInd w:val="0"/>
        <w:spacing w:after="0" w:line="360" w:lineRule="auto"/>
        <w:ind w:firstLine="720"/>
        <w:jc w:val="both"/>
        <w:rPr>
          <w:bCs/>
          <w:iCs/>
          <w:color w:val="000000" w:themeColor="text1"/>
          <w:sz w:val="22"/>
        </w:rPr>
      </w:pPr>
      <w:r w:rsidRPr="00A5397F">
        <w:rPr>
          <w:bCs/>
          <w:iCs/>
          <w:color w:val="000000" w:themeColor="text1"/>
          <w:sz w:val="22"/>
        </w:rPr>
        <w:t xml:space="preserve">Studiul de fezabilitate pentru obiectivul de investiții </w:t>
      </w:r>
      <w:r w:rsidRPr="00A5397F">
        <w:rPr>
          <w:b/>
          <w:iCs/>
          <w:color w:val="000000" w:themeColor="text1"/>
          <w:sz w:val="22"/>
        </w:rPr>
        <w:t>Reabilitare colector de canalizare</w:t>
      </w:r>
      <w:r w:rsidRPr="00A5397F">
        <w:rPr>
          <w:bCs/>
          <w:iCs/>
          <w:color w:val="000000" w:themeColor="text1"/>
          <w:sz w:val="22"/>
        </w:rPr>
        <w:t xml:space="preserve"> </w:t>
      </w:r>
      <w:r>
        <w:rPr>
          <w:bCs/>
          <w:iCs/>
          <w:color w:val="000000" w:themeColor="text1"/>
          <w:sz w:val="22"/>
        </w:rPr>
        <w:t xml:space="preserve">a condus la actualizarea unor parametri tehnico-economici dar </w:t>
      </w:r>
      <w:r w:rsidRPr="003443C1">
        <w:rPr>
          <w:b/>
          <w:iCs/>
          <w:color w:val="000000" w:themeColor="text1"/>
          <w:sz w:val="22"/>
        </w:rPr>
        <w:t>p</w:t>
      </w:r>
      <w:r w:rsidR="007E29F0" w:rsidRPr="003443C1">
        <w:rPr>
          <w:b/>
          <w:iCs/>
          <w:color w:val="000000" w:themeColor="text1"/>
          <w:sz w:val="22"/>
        </w:rPr>
        <w:t xml:space="preserve">entru aprobarea dosarului de finanțare este necesară păstrarea </w:t>
      </w:r>
      <w:r w:rsidRPr="003443C1">
        <w:rPr>
          <w:b/>
          <w:iCs/>
          <w:color w:val="000000" w:themeColor="text1"/>
          <w:sz w:val="22"/>
        </w:rPr>
        <w:t xml:space="preserve">unor </w:t>
      </w:r>
      <w:r w:rsidR="007E29F0" w:rsidRPr="003443C1">
        <w:rPr>
          <w:b/>
          <w:iCs/>
          <w:color w:val="000000" w:themeColor="text1"/>
          <w:sz w:val="22"/>
        </w:rPr>
        <w:t>indicatori inițiali</w:t>
      </w:r>
      <w:r w:rsidR="007E29F0">
        <w:rPr>
          <w:bCs/>
          <w:iCs/>
          <w:color w:val="000000" w:themeColor="text1"/>
          <w:sz w:val="22"/>
        </w:rPr>
        <w:t>, precizați în cererea de finanțare</w:t>
      </w:r>
      <w:r>
        <w:rPr>
          <w:bCs/>
          <w:iCs/>
          <w:color w:val="000000" w:themeColor="text1"/>
          <w:sz w:val="22"/>
        </w:rPr>
        <w:t>, cu privire la lungimea rețelei, numărul de beneficiari direcți</w:t>
      </w:r>
      <w:r w:rsidR="001B1046">
        <w:rPr>
          <w:bCs/>
          <w:iCs/>
          <w:color w:val="000000" w:themeColor="text1"/>
          <w:sz w:val="22"/>
        </w:rPr>
        <w:t xml:space="preserve"> precum și la costul unitar aferent investiției, fără modificarea valorilor din devizul aprobat.</w:t>
      </w:r>
    </w:p>
    <w:p w14:paraId="6BD7F416" w14:textId="77777777" w:rsidR="0059197B" w:rsidRDefault="0059197B" w:rsidP="00FD46F1">
      <w:pPr>
        <w:autoSpaceDE w:val="0"/>
        <w:autoSpaceDN w:val="0"/>
        <w:adjustRightInd w:val="0"/>
        <w:spacing w:after="0" w:line="360" w:lineRule="auto"/>
        <w:ind w:firstLine="720"/>
        <w:jc w:val="both"/>
        <w:rPr>
          <w:bCs/>
          <w:iCs/>
          <w:color w:val="000000" w:themeColor="text1"/>
          <w:sz w:val="22"/>
        </w:rPr>
      </w:pPr>
    </w:p>
    <w:p w14:paraId="21F179FA" w14:textId="7307B73C" w:rsidR="007E29F0" w:rsidRDefault="001B1046" w:rsidP="00FD46F1">
      <w:pPr>
        <w:autoSpaceDE w:val="0"/>
        <w:autoSpaceDN w:val="0"/>
        <w:adjustRightInd w:val="0"/>
        <w:spacing w:after="0" w:line="360" w:lineRule="auto"/>
        <w:ind w:firstLine="720"/>
        <w:jc w:val="both"/>
        <w:rPr>
          <w:bCs/>
          <w:iCs/>
          <w:color w:val="000000" w:themeColor="text1"/>
          <w:sz w:val="22"/>
        </w:rPr>
      </w:pPr>
      <w:r>
        <w:rPr>
          <w:bCs/>
          <w:iCs/>
          <w:color w:val="000000" w:themeColor="text1"/>
          <w:sz w:val="22"/>
        </w:rPr>
        <w:t>O eventuală actualizare a parametrilor tehnico-economici va</w:t>
      </w:r>
      <w:r w:rsidR="008F194B">
        <w:rPr>
          <w:bCs/>
          <w:iCs/>
          <w:color w:val="000000" w:themeColor="text1"/>
          <w:sz w:val="22"/>
        </w:rPr>
        <w:t xml:space="preserve"> putea</w:t>
      </w:r>
      <w:r>
        <w:rPr>
          <w:bCs/>
          <w:iCs/>
          <w:color w:val="000000" w:themeColor="text1"/>
          <w:sz w:val="22"/>
        </w:rPr>
        <w:t xml:space="preserve"> fi făcută în momentul demarării proiectării și execuției proiectului.</w:t>
      </w:r>
    </w:p>
    <w:bookmarkEnd w:id="5"/>
    <w:bookmarkEnd w:id="6"/>
    <w:p w14:paraId="3CA53DE3" w14:textId="77777777" w:rsidR="00863D2C" w:rsidRDefault="00863D2C" w:rsidP="00F55455">
      <w:pPr>
        <w:autoSpaceDE w:val="0"/>
        <w:autoSpaceDN w:val="0"/>
        <w:adjustRightInd w:val="0"/>
        <w:spacing w:after="0" w:line="360" w:lineRule="auto"/>
        <w:ind w:firstLine="720"/>
        <w:jc w:val="both"/>
        <w:rPr>
          <w:sz w:val="22"/>
        </w:rPr>
      </w:pPr>
    </w:p>
    <w:p w14:paraId="334A13B1" w14:textId="01555B73" w:rsidR="00C07BAB" w:rsidRPr="00C07BAB" w:rsidRDefault="00C07BAB" w:rsidP="00C07BAB">
      <w:pPr>
        <w:autoSpaceDE w:val="0"/>
        <w:autoSpaceDN w:val="0"/>
        <w:adjustRightInd w:val="0"/>
        <w:spacing w:after="0" w:line="360" w:lineRule="auto"/>
        <w:ind w:firstLine="720"/>
        <w:jc w:val="both"/>
        <w:rPr>
          <w:sz w:val="22"/>
        </w:rPr>
      </w:pPr>
      <w:r w:rsidRPr="00C07BAB">
        <w:rPr>
          <w:sz w:val="22"/>
        </w:rPr>
        <w:t>Raportat la prevederile art.</w:t>
      </w:r>
      <w:r w:rsidR="00497BA1">
        <w:rPr>
          <w:sz w:val="22"/>
        </w:rPr>
        <w:t xml:space="preserve"> </w:t>
      </w:r>
      <w:r w:rsidRPr="00C07BAB">
        <w:rPr>
          <w:sz w:val="22"/>
        </w:rPr>
        <w:t>41 și art.</w:t>
      </w:r>
      <w:r w:rsidR="00497BA1">
        <w:rPr>
          <w:sz w:val="22"/>
        </w:rPr>
        <w:t xml:space="preserve"> </w:t>
      </w:r>
      <w:r w:rsidRPr="00C07BAB">
        <w:rPr>
          <w:sz w:val="22"/>
        </w:rPr>
        <w:t xml:space="preserve">44 alin. (1) din Legea nr. 273/2006 privind finanțele publice locale, cu modificările și completările ulterioare, potrivit cărora: ”….. 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art.38. ….. </w:t>
      </w:r>
    </w:p>
    <w:p w14:paraId="3BE248A4" w14:textId="77777777" w:rsidR="00C07BAB" w:rsidRPr="00C07BAB" w:rsidRDefault="00C07BAB" w:rsidP="00C07BAB">
      <w:pPr>
        <w:autoSpaceDE w:val="0"/>
        <w:autoSpaceDN w:val="0"/>
        <w:adjustRightInd w:val="0"/>
        <w:spacing w:after="0" w:line="360" w:lineRule="auto"/>
        <w:ind w:firstLine="720"/>
        <w:jc w:val="both"/>
        <w:rPr>
          <w:sz w:val="22"/>
        </w:rPr>
      </w:pPr>
    </w:p>
    <w:p w14:paraId="53468E32" w14:textId="2A43EF07" w:rsidR="00C07BAB" w:rsidRDefault="00C07BAB" w:rsidP="00C07BAB">
      <w:pPr>
        <w:autoSpaceDE w:val="0"/>
        <w:autoSpaceDN w:val="0"/>
        <w:adjustRightInd w:val="0"/>
        <w:spacing w:after="0" w:line="360" w:lineRule="auto"/>
        <w:ind w:firstLine="720"/>
        <w:jc w:val="both"/>
        <w:rPr>
          <w:sz w:val="22"/>
        </w:rPr>
      </w:pPr>
      <w:r w:rsidRPr="00C07BAB">
        <w:rPr>
          <w:sz w:val="22"/>
        </w:rPr>
        <w:lastRenderedPageBreak/>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 ….. 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și cele privitoare la asigurarea resurselor financiare din același act normativ ”.....Nicio cheltuială nu poate fi înscrisă în bugetele prevăzute la art.1 alin. (2) și nici nu poate fi angajată și efectuată din aceste bugete, dacă nu există baza legală pentru respectiva cheltuială..... (4)Nicio cheltuială din fonduri publice locale nu poate fi angajată, ordonanțată și plătită dacă nu este aprobată, potrivit legii și dacă nu are prevederi bugetare și surse de finanțare”.</w:t>
      </w:r>
    </w:p>
    <w:p w14:paraId="0B35B6EA" w14:textId="77777777" w:rsidR="00863D2C" w:rsidRPr="00F55455" w:rsidRDefault="00863D2C" w:rsidP="00C07BAB">
      <w:pPr>
        <w:autoSpaceDE w:val="0"/>
        <w:autoSpaceDN w:val="0"/>
        <w:adjustRightInd w:val="0"/>
        <w:spacing w:after="0" w:line="360" w:lineRule="auto"/>
        <w:ind w:firstLine="720"/>
        <w:jc w:val="both"/>
        <w:rPr>
          <w:sz w:val="22"/>
        </w:rPr>
      </w:pPr>
    </w:p>
    <w:p w14:paraId="13EA0EED" w14:textId="5B5358E8" w:rsidR="003B4017" w:rsidRPr="00F55455" w:rsidRDefault="003B4017" w:rsidP="00F55455">
      <w:pPr>
        <w:autoSpaceDE w:val="0"/>
        <w:autoSpaceDN w:val="0"/>
        <w:adjustRightInd w:val="0"/>
        <w:spacing w:after="0" w:line="360" w:lineRule="auto"/>
        <w:ind w:firstLine="720"/>
        <w:jc w:val="both"/>
        <w:rPr>
          <w:sz w:val="22"/>
        </w:rPr>
      </w:pPr>
      <w:r w:rsidRPr="00F55455">
        <w:rPr>
          <w:sz w:val="22"/>
        </w:rPr>
        <w:t>Sunt respectate prevederile art. 1, alin</w:t>
      </w:r>
      <w:r w:rsidR="00497BA1">
        <w:rPr>
          <w:sz w:val="22"/>
        </w:rPr>
        <w:t>.</w:t>
      </w:r>
      <w:r w:rsidRPr="00F55455">
        <w:rPr>
          <w:sz w:val="22"/>
        </w:rPr>
        <w:t xml:space="preserve"> (5), coroborate cu prevederile art. 4 alin</w:t>
      </w:r>
      <w:r w:rsidR="00497BA1">
        <w:rPr>
          <w:sz w:val="22"/>
        </w:rPr>
        <w:t>.</w:t>
      </w:r>
      <w:r w:rsidRPr="00F55455">
        <w:rPr>
          <w:sz w:val="22"/>
        </w:rPr>
        <w:t xml:space="preserve"> (10) din Ordonanța de Urgență </w:t>
      </w:r>
      <w:r w:rsidR="00497BA1">
        <w:rPr>
          <w:sz w:val="22"/>
        </w:rPr>
        <w:t xml:space="preserve">nr. </w:t>
      </w:r>
      <w:r w:rsidRPr="00F55455">
        <w:rPr>
          <w:sz w:val="22"/>
        </w:rPr>
        <w:t xml:space="preserve">95/2021. </w:t>
      </w:r>
    </w:p>
    <w:p w14:paraId="5FD79631" w14:textId="612D9061" w:rsidR="003B4017" w:rsidRDefault="003B4017" w:rsidP="00F55455">
      <w:pPr>
        <w:autoSpaceDE w:val="0"/>
        <w:autoSpaceDN w:val="0"/>
        <w:adjustRightInd w:val="0"/>
        <w:spacing w:after="0" w:line="360" w:lineRule="auto"/>
        <w:ind w:firstLine="720"/>
        <w:jc w:val="both"/>
        <w:rPr>
          <w:sz w:val="22"/>
        </w:rPr>
      </w:pPr>
      <w:r w:rsidRPr="00F55455">
        <w:rPr>
          <w:sz w:val="22"/>
        </w:rPr>
        <w:t xml:space="preserve">Se vor respecta prevederile </w:t>
      </w:r>
      <w:r w:rsidR="00497BA1">
        <w:rPr>
          <w:sz w:val="22"/>
        </w:rPr>
        <w:t>a</w:t>
      </w:r>
      <w:r w:rsidRPr="00F55455">
        <w:rPr>
          <w:sz w:val="22"/>
        </w:rPr>
        <w:t>rt.</w:t>
      </w:r>
      <w:r w:rsidR="00497BA1">
        <w:rPr>
          <w:sz w:val="22"/>
        </w:rPr>
        <w:t xml:space="preserve"> </w:t>
      </w:r>
      <w:r w:rsidRPr="00F55455">
        <w:rPr>
          <w:sz w:val="22"/>
        </w:rPr>
        <w:t xml:space="preserve">3 din Ordonanța de Urgență 95/2021 conform căruia </w:t>
      </w:r>
      <w:r w:rsidR="00010865" w:rsidRPr="00F55455">
        <w:rPr>
          <w:sz w:val="22"/>
        </w:rPr>
        <w:t xml:space="preserve">                      </w:t>
      </w:r>
      <w:r w:rsidRPr="00F55455">
        <w:rPr>
          <w:sz w:val="22"/>
        </w:rPr>
        <w:t>”Obiectivele de investiţii care se realizează în cadrul programului trebuie să fie amplasate pe terenuri şi/sau construcţii, după caz, aflate în proprietatea publică sau privată a unităţilor administrativ-teritoriale sau în administrarea autorităţilor administraţiei publice locale, cu respectarea prevederilor legale în vigoare.”</w:t>
      </w:r>
    </w:p>
    <w:p w14:paraId="4FEACE6D" w14:textId="77777777" w:rsidR="00863D2C" w:rsidRPr="00F55455" w:rsidRDefault="00863D2C" w:rsidP="00F55455">
      <w:pPr>
        <w:autoSpaceDE w:val="0"/>
        <w:autoSpaceDN w:val="0"/>
        <w:adjustRightInd w:val="0"/>
        <w:spacing w:after="0" w:line="360" w:lineRule="auto"/>
        <w:ind w:firstLine="720"/>
        <w:jc w:val="both"/>
        <w:rPr>
          <w:sz w:val="22"/>
        </w:rPr>
      </w:pPr>
    </w:p>
    <w:p w14:paraId="25E3B96B" w14:textId="2FC04DBE" w:rsidR="00A63A65" w:rsidRDefault="00A63A65" w:rsidP="00F55455">
      <w:pPr>
        <w:autoSpaceDE w:val="0"/>
        <w:autoSpaceDN w:val="0"/>
        <w:adjustRightInd w:val="0"/>
        <w:spacing w:after="0" w:line="360" w:lineRule="auto"/>
        <w:ind w:firstLine="720"/>
        <w:jc w:val="both"/>
        <w:rPr>
          <w:sz w:val="22"/>
        </w:rPr>
      </w:pPr>
      <w:r w:rsidRPr="00F55455">
        <w:rPr>
          <w:sz w:val="22"/>
        </w:rPr>
        <w:t>În baza prevederilor art.</w:t>
      </w:r>
      <w:r w:rsidR="00497BA1">
        <w:rPr>
          <w:sz w:val="22"/>
        </w:rPr>
        <w:t xml:space="preserve"> </w:t>
      </w:r>
      <w:r w:rsidRPr="00F55455">
        <w:rPr>
          <w:sz w:val="22"/>
        </w:rPr>
        <w:t>129, alin</w:t>
      </w:r>
      <w:r w:rsidR="00497BA1">
        <w:rPr>
          <w:sz w:val="22"/>
        </w:rPr>
        <w:t xml:space="preserve">. </w:t>
      </w:r>
      <w:r w:rsidRPr="00F55455">
        <w:rPr>
          <w:sz w:val="22"/>
        </w:rPr>
        <w:t xml:space="preserve">(2),  </w:t>
      </w:r>
      <w:r w:rsidR="00497BA1">
        <w:rPr>
          <w:sz w:val="22"/>
        </w:rPr>
        <w:t xml:space="preserve">lit. b) și </w:t>
      </w:r>
      <w:r w:rsidRPr="00F55455">
        <w:rPr>
          <w:sz w:val="22"/>
        </w:rPr>
        <w:t xml:space="preserve">lit. c) </w:t>
      </w:r>
      <w:r w:rsidR="00497BA1" w:rsidRPr="00497BA1">
        <w:rPr>
          <w:sz w:val="22"/>
        </w:rPr>
        <w:t>coroborat</w:t>
      </w:r>
      <w:r w:rsidR="00497BA1">
        <w:rPr>
          <w:sz w:val="22"/>
        </w:rPr>
        <w:t>e</w:t>
      </w:r>
      <w:r w:rsidR="00497BA1" w:rsidRPr="00497BA1">
        <w:rPr>
          <w:sz w:val="22"/>
        </w:rPr>
        <w:t xml:space="preserve"> cu alin</w:t>
      </w:r>
      <w:r w:rsidR="00497BA1">
        <w:rPr>
          <w:sz w:val="22"/>
        </w:rPr>
        <w:t>.</w:t>
      </w:r>
      <w:r w:rsidR="00497BA1" w:rsidRPr="00497BA1">
        <w:rPr>
          <w:sz w:val="22"/>
        </w:rPr>
        <w:t xml:space="preserve"> (4) lit. d) </w:t>
      </w:r>
      <w:r w:rsidRPr="00F55455">
        <w:rPr>
          <w:sz w:val="22"/>
        </w:rPr>
        <w:t xml:space="preserve">din O.U.G. </w:t>
      </w:r>
      <w:r w:rsidR="00497BA1">
        <w:rPr>
          <w:sz w:val="22"/>
        </w:rPr>
        <w:t xml:space="preserve">nr. </w:t>
      </w:r>
      <w:r w:rsidRPr="00F55455">
        <w:rPr>
          <w:sz w:val="22"/>
        </w:rPr>
        <w:t>57/2019 privind Codul administrativ, cu modificările și completările ulterioare.</w:t>
      </w:r>
    </w:p>
    <w:p w14:paraId="174B5288" w14:textId="77777777" w:rsidR="00863D2C" w:rsidRPr="00F55455" w:rsidRDefault="00863D2C" w:rsidP="00F55455">
      <w:pPr>
        <w:autoSpaceDE w:val="0"/>
        <w:autoSpaceDN w:val="0"/>
        <w:adjustRightInd w:val="0"/>
        <w:spacing w:after="0" w:line="360" w:lineRule="auto"/>
        <w:ind w:firstLine="720"/>
        <w:jc w:val="both"/>
        <w:rPr>
          <w:sz w:val="22"/>
        </w:rPr>
      </w:pPr>
    </w:p>
    <w:p w14:paraId="2C4CFFD0" w14:textId="3BFCB4B1" w:rsidR="00A63A65" w:rsidRDefault="00A63A65" w:rsidP="00F55455">
      <w:pPr>
        <w:autoSpaceDE w:val="0"/>
        <w:autoSpaceDN w:val="0"/>
        <w:adjustRightInd w:val="0"/>
        <w:spacing w:after="0" w:line="360" w:lineRule="auto"/>
        <w:ind w:firstLine="720"/>
        <w:jc w:val="both"/>
        <w:rPr>
          <w:sz w:val="22"/>
        </w:rPr>
      </w:pPr>
      <w:r w:rsidRPr="00F55455">
        <w:rPr>
          <w:sz w:val="22"/>
        </w:rPr>
        <w:t>În temeiul  prevederilor art. 139, alin. (3), lit. g) și prevederile art. 196, alin</w:t>
      </w:r>
      <w:r w:rsidR="00497BA1">
        <w:rPr>
          <w:sz w:val="22"/>
        </w:rPr>
        <w:t>.</w:t>
      </w:r>
      <w:r w:rsidRPr="00F55455">
        <w:rPr>
          <w:sz w:val="22"/>
        </w:rPr>
        <w:t xml:space="preserve"> (1), lit. a)  din O.U.G nr. 57/2019 privind Codul administrativ, cu modificările și completările ulterioare</w:t>
      </w:r>
      <w:r w:rsidR="002D16B8">
        <w:rPr>
          <w:sz w:val="22"/>
        </w:rPr>
        <w:t>.</w:t>
      </w:r>
    </w:p>
    <w:p w14:paraId="1B9336A9" w14:textId="77777777" w:rsidR="002D16B8" w:rsidRDefault="002D16B8" w:rsidP="00F55455">
      <w:pPr>
        <w:autoSpaceDE w:val="0"/>
        <w:autoSpaceDN w:val="0"/>
        <w:adjustRightInd w:val="0"/>
        <w:spacing w:after="0" w:line="360" w:lineRule="auto"/>
        <w:ind w:firstLine="720"/>
        <w:jc w:val="both"/>
        <w:rPr>
          <w:sz w:val="22"/>
        </w:rPr>
      </w:pPr>
    </w:p>
    <w:p w14:paraId="74F4BD75" w14:textId="23E98113" w:rsidR="00863D2C" w:rsidRDefault="004D4A21" w:rsidP="00F55455">
      <w:pPr>
        <w:autoSpaceDE w:val="0"/>
        <w:autoSpaceDN w:val="0"/>
        <w:adjustRightInd w:val="0"/>
        <w:spacing w:after="0" w:line="360" w:lineRule="auto"/>
        <w:ind w:firstLine="720"/>
        <w:jc w:val="both"/>
        <w:rPr>
          <w:sz w:val="22"/>
        </w:rPr>
      </w:pPr>
      <w:r>
        <w:rPr>
          <w:sz w:val="22"/>
        </w:rPr>
        <w:t xml:space="preserve">La prezentul raport de specialitate atașăm </w:t>
      </w:r>
      <w:r w:rsidRPr="004D4A21">
        <w:rPr>
          <w:sz w:val="22"/>
        </w:rPr>
        <w:t>H</w:t>
      </w:r>
      <w:r w:rsidR="003443C1">
        <w:rPr>
          <w:sz w:val="22"/>
        </w:rPr>
        <w:t>.</w:t>
      </w:r>
      <w:r w:rsidRPr="004D4A21">
        <w:rPr>
          <w:sz w:val="22"/>
        </w:rPr>
        <w:t>C</w:t>
      </w:r>
      <w:r w:rsidR="003443C1">
        <w:rPr>
          <w:sz w:val="22"/>
        </w:rPr>
        <w:t>.</w:t>
      </w:r>
      <w:r w:rsidRPr="004D4A21">
        <w:rPr>
          <w:sz w:val="22"/>
        </w:rPr>
        <w:t>L</w:t>
      </w:r>
      <w:r w:rsidR="003443C1">
        <w:rPr>
          <w:sz w:val="22"/>
        </w:rPr>
        <w:t>. nr.</w:t>
      </w:r>
      <w:r w:rsidRPr="004D4A21">
        <w:rPr>
          <w:sz w:val="22"/>
        </w:rPr>
        <w:t xml:space="preserve"> 252/31.08.2023</w:t>
      </w:r>
      <w:r w:rsidR="003443C1">
        <w:rPr>
          <w:sz w:val="22"/>
        </w:rPr>
        <w:t xml:space="preserve"> precum și H.C.L. nr.40/2022</w:t>
      </w:r>
      <w:r w:rsidR="002D16B8">
        <w:rPr>
          <w:sz w:val="22"/>
        </w:rPr>
        <w:t>.</w:t>
      </w:r>
    </w:p>
    <w:p w14:paraId="02C88004" w14:textId="77777777" w:rsidR="002D16B8" w:rsidRPr="00F55455" w:rsidRDefault="002D16B8" w:rsidP="00F55455">
      <w:pPr>
        <w:autoSpaceDE w:val="0"/>
        <w:autoSpaceDN w:val="0"/>
        <w:adjustRightInd w:val="0"/>
        <w:spacing w:after="0" w:line="360" w:lineRule="auto"/>
        <w:ind w:firstLine="720"/>
        <w:jc w:val="both"/>
        <w:rPr>
          <w:sz w:val="22"/>
        </w:rPr>
      </w:pPr>
    </w:p>
    <w:p w14:paraId="7BD8BB65" w14:textId="77777777" w:rsidR="00577341" w:rsidRPr="00F55455" w:rsidRDefault="00577341" w:rsidP="00F55455">
      <w:pPr>
        <w:spacing w:after="0" w:line="360" w:lineRule="auto"/>
        <w:ind w:firstLine="720"/>
        <w:jc w:val="both"/>
        <w:rPr>
          <w:sz w:val="22"/>
        </w:rPr>
      </w:pPr>
      <w:r w:rsidRPr="00F55455">
        <w:rPr>
          <w:sz w:val="22"/>
        </w:rPr>
        <w:t>Față de cele prezentate mai sus, proiectul de hotărâre se înaintează Consiliului Local al Municipiului Satu Mare cu propunere de aprobare.</w:t>
      </w:r>
    </w:p>
    <w:p w14:paraId="449A19D6" w14:textId="10FD92DE" w:rsidR="00577341" w:rsidRDefault="00577341" w:rsidP="00577341">
      <w:pPr>
        <w:pStyle w:val="PlainText"/>
        <w:jc w:val="both"/>
        <w:rPr>
          <w:rFonts w:ascii="Times New Roman" w:hAnsi="Times New Roman" w:cs="Times New Roman"/>
          <w:sz w:val="22"/>
          <w:szCs w:val="22"/>
        </w:rPr>
      </w:pPr>
    </w:p>
    <w:p w14:paraId="66DE023A" w14:textId="77777777" w:rsidR="00577341" w:rsidRPr="00F55455" w:rsidRDefault="00577341" w:rsidP="00577341">
      <w:pPr>
        <w:pStyle w:val="PlainText"/>
        <w:jc w:val="both"/>
        <w:rPr>
          <w:rFonts w:ascii="Times New Roman" w:hAnsi="Times New Roman" w:cs="Times New Roman"/>
          <w:sz w:val="22"/>
          <w:szCs w:val="22"/>
        </w:rPr>
      </w:pPr>
    </w:p>
    <w:p w14:paraId="1B697A7C" w14:textId="053B1851" w:rsidR="00681A42" w:rsidRPr="00F55455" w:rsidRDefault="00577341" w:rsidP="00577341">
      <w:pPr>
        <w:pStyle w:val="PlainText"/>
        <w:jc w:val="both"/>
        <w:rPr>
          <w:rFonts w:ascii="Times New Roman" w:hAnsi="Times New Roman" w:cs="Times New Roman"/>
          <w:b/>
          <w:sz w:val="22"/>
          <w:szCs w:val="22"/>
        </w:rPr>
      </w:pPr>
      <w:r w:rsidRPr="00F55455">
        <w:rPr>
          <w:rFonts w:ascii="Times New Roman" w:hAnsi="Times New Roman" w:cs="Times New Roman"/>
          <w:b/>
          <w:sz w:val="22"/>
          <w:szCs w:val="22"/>
        </w:rPr>
        <w:t xml:space="preserve">Director Executiv                            </w:t>
      </w:r>
      <w:r w:rsidRPr="00F55455">
        <w:rPr>
          <w:rFonts w:ascii="Times New Roman" w:hAnsi="Times New Roman" w:cs="Times New Roman"/>
          <w:b/>
          <w:sz w:val="22"/>
          <w:szCs w:val="22"/>
        </w:rPr>
        <w:tab/>
      </w:r>
      <w:r w:rsidRPr="00F55455">
        <w:rPr>
          <w:rFonts w:ascii="Times New Roman" w:hAnsi="Times New Roman" w:cs="Times New Roman"/>
          <w:b/>
          <w:sz w:val="22"/>
          <w:szCs w:val="22"/>
        </w:rPr>
        <w:tab/>
      </w:r>
      <w:r w:rsidRPr="00F55455">
        <w:rPr>
          <w:rFonts w:ascii="Times New Roman" w:hAnsi="Times New Roman" w:cs="Times New Roman"/>
          <w:b/>
          <w:sz w:val="22"/>
          <w:szCs w:val="22"/>
        </w:rPr>
        <w:tab/>
      </w:r>
      <w:r w:rsidRPr="00F55455">
        <w:rPr>
          <w:rFonts w:ascii="Times New Roman" w:hAnsi="Times New Roman" w:cs="Times New Roman"/>
          <w:b/>
          <w:sz w:val="22"/>
          <w:szCs w:val="22"/>
        </w:rPr>
        <w:tab/>
      </w:r>
      <w:r w:rsidRPr="00F55455">
        <w:rPr>
          <w:rFonts w:ascii="Times New Roman" w:hAnsi="Times New Roman" w:cs="Times New Roman"/>
          <w:b/>
          <w:sz w:val="22"/>
          <w:szCs w:val="22"/>
        </w:rPr>
        <w:tab/>
        <w:t xml:space="preserve">  </w:t>
      </w:r>
      <w:r w:rsidR="00ED5CFD" w:rsidRPr="00F55455">
        <w:rPr>
          <w:rFonts w:ascii="Times New Roman" w:hAnsi="Times New Roman" w:cs="Times New Roman"/>
          <w:b/>
          <w:sz w:val="22"/>
          <w:szCs w:val="22"/>
        </w:rPr>
        <w:t xml:space="preserve">  </w:t>
      </w:r>
      <w:r w:rsidRPr="00F55455">
        <w:rPr>
          <w:rFonts w:ascii="Times New Roman" w:hAnsi="Times New Roman" w:cs="Times New Roman"/>
          <w:b/>
          <w:sz w:val="22"/>
          <w:szCs w:val="22"/>
        </w:rPr>
        <w:t xml:space="preserve">Șef Serviciu </w:t>
      </w:r>
    </w:p>
    <w:p w14:paraId="72B86EF3" w14:textId="06E22FAB" w:rsidR="003D6181" w:rsidRPr="00F55455" w:rsidRDefault="00577341" w:rsidP="00681A42">
      <w:pPr>
        <w:pStyle w:val="PlainText"/>
        <w:ind w:left="5040" w:firstLine="720"/>
        <w:jc w:val="both"/>
        <w:rPr>
          <w:rFonts w:ascii="Times New Roman" w:hAnsi="Times New Roman" w:cs="Times New Roman"/>
          <w:sz w:val="22"/>
          <w:szCs w:val="22"/>
        </w:rPr>
      </w:pPr>
      <w:r w:rsidRPr="00F55455">
        <w:rPr>
          <w:rFonts w:ascii="Times New Roman" w:hAnsi="Times New Roman" w:cs="Times New Roman"/>
          <w:b/>
          <w:sz w:val="22"/>
          <w:szCs w:val="22"/>
        </w:rPr>
        <w:t>Invest</w:t>
      </w:r>
      <w:r w:rsidR="00681A42" w:rsidRPr="00F55455">
        <w:rPr>
          <w:rFonts w:ascii="Times New Roman" w:hAnsi="Times New Roman" w:cs="Times New Roman"/>
          <w:b/>
          <w:sz w:val="22"/>
          <w:szCs w:val="22"/>
        </w:rPr>
        <w:t xml:space="preserve">iții </w:t>
      </w:r>
      <w:r w:rsidRPr="00F55455">
        <w:rPr>
          <w:rFonts w:ascii="Times New Roman" w:hAnsi="Times New Roman" w:cs="Times New Roman"/>
          <w:b/>
          <w:sz w:val="22"/>
          <w:szCs w:val="22"/>
        </w:rPr>
        <w:t>Gospodărire</w:t>
      </w:r>
      <w:r w:rsidR="00681A42" w:rsidRPr="00F55455">
        <w:rPr>
          <w:rFonts w:ascii="Times New Roman" w:hAnsi="Times New Roman" w:cs="Times New Roman"/>
          <w:b/>
          <w:sz w:val="22"/>
          <w:szCs w:val="22"/>
        </w:rPr>
        <w:t xml:space="preserve"> </w:t>
      </w:r>
      <w:r w:rsidRPr="00F55455">
        <w:rPr>
          <w:rFonts w:ascii="Times New Roman" w:hAnsi="Times New Roman" w:cs="Times New Roman"/>
          <w:b/>
          <w:sz w:val="22"/>
          <w:szCs w:val="22"/>
        </w:rPr>
        <w:t>Întreținere</w:t>
      </w:r>
      <w:r w:rsidRPr="00F55455">
        <w:rPr>
          <w:rFonts w:ascii="Times New Roman" w:hAnsi="Times New Roman" w:cs="Times New Roman"/>
          <w:b/>
          <w:sz w:val="22"/>
          <w:szCs w:val="22"/>
        </w:rPr>
        <w:tab/>
      </w:r>
      <w:r w:rsidRPr="00F55455">
        <w:rPr>
          <w:rFonts w:ascii="Times New Roman" w:hAnsi="Times New Roman" w:cs="Times New Roman"/>
          <w:sz w:val="22"/>
          <w:szCs w:val="22"/>
        </w:rPr>
        <w:t xml:space="preserve"> </w:t>
      </w:r>
    </w:p>
    <w:p w14:paraId="6E0862F4" w14:textId="5F300374" w:rsidR="00577341" w:rsidRPr="00F55455" w:rsidRDefault="00ED5CFD"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 xml:space="preserve"> </w:t>
      </w:r>
      <w:r w:rsidR="00577341" w:rsidRPr="00F55455">
        <w:rPr>
          <w:rFonts w:ascii="Times New Roman" w:hAnsi="Times New Roman" w:cs="Times New Roman"/>
          <w:sz w:val="22"/>
          <w:szCs w:val="22"/>
        </w:rPr>
        <w:t>Ec.</w:t>
      </w:r>
      <w:r w:rsidR="003D6181" w:rsidRPr="00F55455">
        <w:rPr>
          <w:rFonts w:ascii="Times New Roman" w:hAnsi="Times New Roman" w:cs="Times New Roman"/>
          <w:sz w:val="22"/>
          <w:szCs w:val="22"/>
        </w:rPr>
        <w:t xml:space="preserve"> </w:t>
      </w:r>
      <w:r w:rsidR="00577341" w:rsidRPr="00F55455">
        <w:rPr>
          <w:rFonts w:ascii="Times New Roman" w:hAnsi="Times New Roman" w:cs="Times New Roman"/>
          <w:sz w:val="22"/>
          <w:szCs w:val="22"/>
        </w:rPr>
        <w:t xml:space="preserve">Ursu Lucica                                  </w:t>
      </w:r>
      <w:r w:rsidR="00577341" w:rsidRPr="00F55455">
        <w:rPr>
          <w:rFonts w:ascii="Times New Roman" w:hAnsi="Times New Roman" w:cs="Times New Roman"/>
          <w:sz w:val="22"/>
          <w:szCs w:val="22"/>
        </w:rPr>
        <w:tab/>
      </w:r>
      <w:r w:rsidR="00577341" w:rsidRPr="00F55455">
        <w:rPr>
          <w:rFonts w:ascii="Times New Roman" w:hAnsi="Times New Roman" w:cs="Times New Roman"/>
          <w:sz w:val="22"/>
          <w:szCs w:val="22"/>
        </w:rPr>
        <w:tab/>
      </w:r>
      <w:r w:rsidR="00577341" w:rsidRPr="00F55455">
        <w:rPr>
          <w:rFonts w:ascii="Times New Roman" w:hAnsi="Times New Roman" w:cs="Times New Roman"/>
          <w:sz w:val="22"/>
          <w:szCs w:val="22"/>
        </w:rPr>
        <w:tab/>
      </w:r>
      <w:r w:rsidRPr="00F55455">
        <w:rPr>
          <w:rFonts w:ascii="Times New Roman" w:hAnsi="Times New Roman" w:cs="Times New Roman"/>
          <w:sz w:val="22"/>
          <w:szCs w:val="22"/>
        </w:rPr>
        <w:t xml:space="preserve">          </w:t>
      </w:r>
      <w:r w:rsidR="00F55455">
        <w:rPr>
          <w:rFonts w:ascii="Times New Roman" w:hAnsi="Times New Roman" w:cs="Times New Roman"/>
          <w:sz w:val="22"/>
          <w:szCs w:val="22"/>
        </w:rPr>
        <w:t xml:space="preserve">             I</w:t>
      </w:r>
      <w:r w:rsidR="00577341" w:rsidRPr="00F55455">
        <w:rPr>
          <w:rFonts w:ascii="Times New Roman" w:hAnsi="Times New Roman" w:cs="Times New Roman"/>
          <w:sz w:val="22"/>
          <w:szCs w:val="22"/>
        </w:rPr>
        <w:t xml:space="preserve">ng. Szűcs Zsigmond  </w:t>
      </w:r>
      <w:r w:rsidR="00577341" w:rsidRPr="00F55455">
        <w:rPr>
          <w:rFonts w:ascii="Times New Roman" w:hAnsi="Times New Roman" w:cs="Times New Roman"/>
          <w:sz w:val="22"/>
          <w:szCs w:val="22"/>
        </w:rPr>
        <w:tab/>
      </w:r>
      <w:r w:rsidR="00577341" w:rsidRPr="00F55455">
        <w:rPr>
          <w:rFonts w:ascii="Times New Roman" w:hAnsi="Times New Roman" w:cs="Times New Roman"/>
          <w:sz w:val="22"/>
          <w:szCs w:val="22"/>
        </w:rPr>
        <w:tab/>
      </w:r>
      <w:r w:rsidR="00577341" w:rsidRPr="00F55455">
        <w:rPr>
          <w:rFonts w:ascii="Times New Roman" w:hAnsi="Times New Roman" w:cs="Times New Roman"/>
          <w:color w:val="FF0000"/>
          <w:sz w:val="22"/>
          <w:szCs w:val="22"/>
        </w:rPr>
        <w:t xml:space="preserve">  </w:t>
      </w:r>
    </w:p>
    <w:p w14:paraId="52C91C75" w14:textId="77777777" w:rsidR="00577341" w:rsidRPr="00F55455" w:rsidRDefault="00577341" w:rsidP="00577341">
      <w:pPr>
        <w:pStyle w:val="PlainText"/>
        <w:jc w:val="both"/>
        <w:rPr>
          <w:rFonts w:ascii="Times New Roman" w:hAnsi="Times New Roman" w:cs="Times New Roman"/>
          <w:sz w:val="22"/>
          <w:szCs w:val="22"/>
        </w:rPr>
      </w:pPr>
    </w:p>
    <w:p w14:paraId="54C41D54" w14:textId="36C74338" w:rsidR="00577341" w:rsidRPr="00F55455" w:rsidRDefault="00577341"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 xml:space="preserve"> </w:t>
      </w:r>
    </w:p>
    <w:p w14:paraId="19DE9EBD" w14:textId="0C7C7B0D" w:rsidR="00010865" w:rsidRPr="00F55455" w:rsidRDefault="00010865" w:rsidP="00A225F8">
      <w:pPr>
        <w:pStyle w:val="PlainText"/>
        <w:jc w:val="both"/>
        <w:rPr>
          <w:rFonts w:ascii="Times New Roman" w:hAnsi="Times New Roman" w:cs="Times New Roman"/>
          <w:sz w:val="22"/>
          <w:szCs w:val="22"/>
        </w:rPr>
      </w:pPr>
    </w:p>
    <w:p w14:paraId="1E8952A7" w14:textId="763A774C" w:rsidR="00010865" w:rsidRDefault="00010865" w:rsidP="00A225F8">
      <w:pPr>
        <w:pStyle w:val="PlainText"/>
        <w:jc w:val="both"/>
        <w:rPr>
          <w:rFonts w:ascii="Times New Roman" w:hAnsi="Times New Roman" w:cs="Times New Roman"/>
          <w:sz w:val="22"/>
          <w:szCs w:val="22"/>
        </w:rPr>
      </w:pPr>
    </w:p>
    <w:p w14:paraId="1E4208A3" w14:textId="77777777" w:rsidR="00010865" w:rsidRPr="00F55455" w:rsidRDefault="00010865" w:rsidP="00A225F8">
      <w:pPr>
        <w:pStyle w:val="PlainText"/>
        <w:jc w:val="both"/>
        <w:rPr>
          <w:rFonts w:ascii="Times New Roman" w:hAnsi="Times New Roman" w:cs="Times New Roman"/>
          <w:sz w:val="22"/>
          <w:szCs w:val="22"/>
        </w:rPr>
      </w:pPr>
    </w:p>
    <w:p w14:paraId="608B1216" w14:textId="5BB1D6BA" w:rsidR="00D66225" w:rsidRPr="00F55455" w:rsidRDefault="00681A42" w:rsidP="00681A42">
      <w:pPr>
        <w:pStyle w:val="PlainText"/>
        <w:jc w:val="both"/>
        <w:rPr>
          <w:rFonts w:ascii="Times New Roman" w:eastAsia="Calibri" w:hAnsi="Times New Roman" w:cs="Times New Roman"/>
          <w:sz w:val="18"/>
          <w:szCs w:val="18"/>
        </w:rPr>
      </w:pPr>
      <w:r w:rsidRPr="00F55455">
        <w:rPr>
          <w:rFonts w:ascii="Times New Roman" w:eastAsia="Calibri" w:hAnsi="Times New Roman" w:cs="Times New Roman"/>
          <w:sz w:val="18"/>
          <w:szCs w:val="18"/>
        </w:rPr>
        <w:t>Cons. Neacșu Adrian Gabriel - 2 ex.</w:t>
      </w:r>
    </w:p>
    <w:sectPr w:rsidR="00D66225" w:rsidRPr="00F55455" w:rsidSect="002F4904">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4823" w14:textId="77777777" w:rsidR="000E07AC" w:rsidRDefault="000E07AC" w:rsidP="0011506A">
      <w:pPr>
        <w:spacing w:after="0" w:line="240" w:lineRule="auto"/>
      </w:pPr>
      <w:r>
        <w:separator/>
      </w:r>
    </w:p>
  </w:endnote>
  <w:endnote w:type="continuationSeparator" w:id="0">
    <w:p w14:paraId="573D4599" w14:textId="77777777" w:rsidR="000E07AC" w:rsidRDefault="000E07A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DD61" w14:textId="77777777" w:rsidR="000E07AC" w:rsidRDefault="000E07AC" w:rsidP="0011506A">
      <w:pPr>
        <w:spacing w:after="0" w:line="240" w:lineRule="auto"/>
      </w:pPr>
      <w:r>
        <w:separator/>
      </w:r>
    </w:p>
  </w:footnote>
  <w:footnote w:type="continuationSeparator" w:id="0">
    <w:p w14:paraId="2DF0EB76" w14:textId="77777777" w:rsidR="000E07AC" w:rsidRDefault="000E07AC"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655042">
    <w:abstractNumId w:val="5"/>
  </w:num>
  <w:num w:numId="2" w16cid:durableId="62409878">
    <w:abstractNumId w:val="6"/>
  </w:num>
  <w:num w:numId="3" w16cid:durableId="1986160561">
    <w:abstractNumId w:val="1"/>
  </w:num>
  <w:num w:numId="4" w16cid:durableId="74910212">
    <w:abstractNumId w:val="3"/>
  </w:num>
  <w:num w:numId="5" w16cid:durableId="1888956521">
    <w:abstractNumId w:val="4"/>
  </w:num>
  <w:num w:numId="6" w16cid:durableId="410473461">
    <w:abstractNumId w:val="2"/>
  </w:num>
  <w:num w:numId="7" w16cid:durableId="61598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0865"/>
    <w:rsid w:val="00021BE9"/>
    <w:rsid w:val="00035B9B"/>
    <w:rsid w:val="00054AE2"/>
    <w:rsid w:val="000730A2"/>
    <w:rsid w:val="000773EC"/>
    <w:rsid w:val="00077717"/>
    <w:rsid w:val="00077E3C"/>
    <w:rsid w:val="00081F53"/>
    <w:rsid w:val="00091A2A"/>
    <w:rsid w:val="0009203E"/>
    <w:rsid w:val="00097056"/>
    <w:rsid w:val="000A0698"/>
    <w:rsid w:val="000A07FC"/>
    <w:rsid w:val="000A3815"/>
    <w:rsid w:val="000A63CA"/>
    <w:rsid w:val="000A65FB"/>
    <w:rsid w:val="000B11AE"/>
    <w:rsid w:val="000B2A5A"/>
    <w:rsid w:val="000C00AD"/>
    <w:rsid w:val="000C0AD0"/>
    <w:rsid w:val="000C78C5"/>
    <w:rsid w:val="000E00C1"/>
    <w:rsid w:val="000E07AC"/>
    <w:rsid w:val="000F46CE"/>
    <w:rsid w:val="00106818"/>
    <w:rsid w:val="001121C8"/>
    <w:rsid w:val="0011506A"/>
    <w:rsid w:val="00115178"/>
    <w:rsid w:val="00120656"/>
    <w:rsid w:val="00121F18"/>
    <w:rsid w:val="00123474"/>
    <w:rsid w:val="0012469E"/>
    <w:rsid w:val="001255D2"/>
    <w:rsid w:val="00134882"/>
    <w:rsid w:val="0014037E"/>
    <w:rsid w:val="00141760"/>
    <w:rsid w:val="00154F84"/>
    <w:rsid w:val="0016095E"/>
    <w:rsid w:val="00165CF5"/>
    <w:rsid w:val="00167775"/>
    <w:rsid w:val="00170740"/>
    <w:rsid w:val="00175C8D"/>
    <w:rsid w:val="001825A7"/>
    <w:rsid w:val="00191442"/>
    <w:rsid w:val="00196105"/>
    <w:rsid w:val="00197734"/>
    <w:rsid w:val="001A5506"/>
    <w:rsid w:val="001A5646"/>
    <w:rsid w:val="001B1046"/>
    <w:rsid w:val="001D144E"/>
    <w:rsid w:val="001D1466"/>
    <w:rsid w:val="001D6D04"/>
    <w:rsid w:val="001E54CA"/>
    <w:rsid w:val="001E5B74"/>
    <w:rsid w:val="001E69BA"/>
    <w:rsid w:val="001F10E1"/>
    <w:rsid w:val="001F792D"/>
    <w:rsid w:val="002003EA"/>
    <w:rsid w:val="00215CDC"/>
    <w:rsid w:val="00221974"/>
    <w:rsid w:val="00222BDC"/>
    <w:rsid w:val="00223D68"/>
    <w:rsid w:val="00234C51"/>
    <w:rsid w:val="00255514"/>
    <w:rsid w:val="002667E2"/>
    <w:rsid w:val="00272A5D"/>
    <w:rsid w:val="00274CB2"/>
    <w:rsid w:val="00276174"/>
    <w:rsid w:val="002947B1"/>
    <w:rsid w:val="002A38C3"/>
    <w:rsid w:val="002A4D1F"/>
    <w:rsid w:val="002A5E3C"/>
    <w:rsid w:val="002C0453"/>
    <w:rsid w:val="002C1202"/>
    <w:rsid w:val="002C3CC0"/>
    <w:rsid w:val="002D16B8"/>
    <w:rsid w:val="002E08D3"/>
    <w:rsid w:val="002E1760"/>
    <w:rsid w:val="002E19CE"/>
    <w:rsid w:val="002E4817"/>
    <w:rsid w:val="002E56A4"/>
    <w:rsid w:val="002F16AA"/>
    <w:rsid w:val="002F4904"/>
    <w:rsid w:val="002F7C67"/>
    <w:rsid w:val="00316D43"/>
    <w:rsid w:val="00322939"/>
    <w:rsid w:val="00324134"/>
    <w:rsid w:val="00326FAA"/>
    <w:rsid w:val="00334FA9"/>
    <w:rsid w:val="003363D5"/>
    <w:rsid w:val="00337504"/>
    <w:rsid w:val="003401E0"/>
    <w:rsid w:val="003443C1"/>
    <w:rsid w:val="00347E2B"/>
    <w:rsid w:val="00347FEE"/>
    <w:rsid w:val="00351B0A"/>
    <w:rsid w:val="003703CB"/>
    <w:rsid w:val="00374884"/>
    <w:rsid w:val="003772B9"/>
    <w:rsid w:val="0038173A"/>
    <w:rsid w:val="00381A66"/>
    <w:rsid w:val="00381D84"/>
    <w:rsid w:val="00382795"/>
    <w:rsid w:val="00384944"/>
    <w:rsid w:val="00397A29"/>
    <w:rsid w:val="003A0AAB"/>
    <w:rsid w:val="003A19B6"/>
    <w:rsid w:val="003A6116"/>
    <w:rsid w:val="003B2D59"/>
    <w:rsid w:val="003B4017"/>
    <w:rsid w:val="003B6AB4"/>
    <w:rsid w:val="003C0545"/>
    <w:rsid w:val="003C4260"/>
    <w:rsid w:val="003D14CF"/>
    <w:rsid w:val="003D6181"/>
    <w:rsid w:val="003D7EC3"/>
    <w:rsid w:val="003E4D81"/>
    <w:rsid w:val="003F4570"/>
    <w:rsid w:val="003F5E77"/>
    <w:rsid w:val="00401941"/>
    <w:rsid w:val="00406EB6"/>
    <w:rsid w:val="0040786C"/>
    <w:rsid w:val="0041269B"/>
    <w:rsid w:val="00427129"/>
    <w:rsid w:val="00432C70"/>
    <w:rsid w:val="0043418F"/>
    <w:rsid w:val="00444660"/>
    <w:rsid w:val="004452C5"/>
    <w:rsid w:val="00446073"/>
    <w:rsid w:val="00467E16"/>
    <w:rsid w:val="00472FBE"/>
    <w:rsid w:val="00480DE1"/>
    <w:rsid w:val="00497BA1"/>
    <w:rsid w:val="004B7E49"/>
    <w:rsid w:val="004C22F8"/>
    <w:rsid w:val="004C29AD"/>
    <w:rsid w:val="004C5D13"/>
    <w:rsid w:val="004D014B"/>
    <w:rsid w:val="004D0D1D"/>
    <w:rsid w:val="004D4A21"/>
    <w:rsid w:val="004D6684"/>
    <w:rsid w:val="004D6F65"/>
    <w:rsid w:val="004E014E"/>
    <w:rsid w:val="004F495F"/>
    <w:rsid w:val="005159D5"/>
    <w:rsid w:val="00527EF2"/>
    <w:rsid w:val="00530239"/>
    <w:rsid w:val="005371C6"/>
    <w:rsid w:val="00541160"/>
    <w:rsid w:val="005460E0"/>
    <w:rsid w:val="00550640"/>
    <w:rsid w:val="00556689"/>
    <w:rsid w:val="00557265"/>
    <w:rsid w:val="00564BA3"/>
    <w:rsid w:val="00570841"/>
    <w:rsid w:val="00570977"/>
    <w:rsid w:val="00574D80"/>
    <w:rsid w:val="00577341"/>
    <w:rsid w:val="00584313"/>
    <w:rsid w:val="00585FEA"/>
    <w:rsid w:val="0059197B"/>
    <w:rsid w:val="005A01E4"/>
    <w:rsid w:val="005A272F"/>
    <w:rsid w:val="005B174F"/>
    <w:rsid w:val="005B25CD"/>
    <w:rsid w:val="005B5165"/>
    <w:rsid w:val="005C1A09"/>
    <w:rsid w:val="005C4C18"/>
    <w:rsid w:val="005C5A42"/>
    <w:rsid w:val="005D40C7"/>
    <w:rsid w:val="005D6921"/>
    <w:rsid w:val="005E4927"/>
    <w:rsid w:val="005E672E"/>
    <w:rsid w:val="005E69BC"/>
    <w:rsid w:val="005F29DB"/>
    <w:rsid w:val="005F4434"/>
    <w:rsid w:val="006155DD"/>
    <w:rsid w:val="006164A0"/>
    <w:rsid w:val="00627B4E"/>
    <w:rsid w:val="006414AC"/>
    <w:rsid w:val="006450C0"/>
    <w:rsid w:val="006549C5"/>
    <w:rsid w:val="00665BC7"/>
    <w:rsid w:val="00673F47"/>
    <w:rsid w:val="00675A1C"/>
    <w:rsid w:val="00680D66"/>
    <w:rsid w:val="00681A42"/>
    <w:rsid w:val="00686A51"/>
    <w:rsid w:val="0068772D"/>
    <w:rsid w:val="00697EAE"/>
    <w:rsid w:val="006A5575"/>
    <w:rsid w:val="006B1BD0"/>
    <w:rsid w:val="006B7DE1"/>
    <w:rsid w:val="006C1789"/>
    <w:rsid w:val="006C7912"/>
    <w:rsid w:val="006D1C5B"/>
    <w:rsid w:val="006D1D46"/>
    <w:rsid w:val="006D7D47"/>
    <w:rsid w:val="006E1F38"/>
    <w:rsid w:val="007018DE"/>
    <w:rsid w:val="00701D79"/>
    <w:rsid w:val="00703F32"/>
    <w:rsid w:val="00717387"/>
    <w:rsid w:val="00733331"/>
    <w:rsid w:val="007367E4"/>
    <w:rsid w:val="00736AB8"/>
    <w:rsid w:val="00745320"/>
    <w:rsid w:val="00763344"/>
    <w:rsid w:val="0077727F"/>
    <w:rsid w:val="00780DA8"/>
    <w:rsid w:val="00782B34"/>
    <w:rsid w:val="007928CA"/>
    <w:rsid w:val="00793840"/>
    <w:rsid w:val="00793E3A"/>
    <w:rsid w:val="00794D83"/>
    <w:rsid w:val="007A1392"/>
    <w:rsid w:val="007A228C"/>
    <w:rsid w:val="007B650B"/>
    <w:rsid w:val="007C149A"/>
    <w:rsid w:val="007C23BA"/>
    <w:rsid w:val="007C41DB"/>
    <w:rsid w:val="007C7FC8"/>
    <w:rsid w:val="007E29F0"/>
    <w:rsid w:val="007E2FA3"/>
    <w:rsid w:val="007E38CA"/>
    <w:rsid w:val="007F758A"/>
    <w:rsid w:val="00807850"/>
    <w:rsid w:val="00816370"/>
    <w:rsid w:val="00817751"/>
    <w:rsid w:val="00824827"/>
    <w:rsid w:val="00825B6B"/>
    <w:rsid w:val="00831191"/>
    <w:rsid w:val="0083133C"/>
    <w:rsid w:val="00832A1A"/>
    <w:rsid w:val="00837199"/>
    <w:rsid w:val="00837AE1"/>
    <w:rsid w:val="00845EB2"/>
    <w:rsid w:val="008572FD"/>
    <w:rsid w:val="00863D2C"/>
    <w:rsid w:val="0086649E"/>
    <w:rsid w:val="008706B5"/>
    <w:rsid w:val="00881562"/>
    <w:rsid w:val="00891933"/>
    <w:rsid w:val="008A1469"/>
    <w:rsid w:val="008B4D52"/>
    <w:rsid w:val="008C1716"/>
    <w:rsid w:val="008E13B6"/>
    <w:rsid w:val="008F194B"/>
    <w:rsid w:val="00913EDE"/>
    <w:rsid w:val="00916EF1"/>
    <w:rsid w:val="009179E5"/>
    <w:rsid w:val="00930004"/>
    <w:rsid w:val="009349AD"/>
    <w:rsid w:val="009424D1"/>
    <w:rsid w:val="0095123F"/>
    <w:rsid w:val="00953E9C"/>
    <w:rsid w:val="0095667E"/>
    <w:rsid w:val="009577FA"/>
    <w:rsid w:val="00957EB5"/>
    <w:rsid w:val="0097275B"/>
    <w:rsid w:val="00973749"/>
    <w:rsid w:val="00984001"/>
    <w:rsid w:val="009928CD"/>
    <w:rsid w:val="00994971"/>
    <w:rsid w:val="009A3C4E"/>
    <w:rsid w:val="009B002E"/>
    <w:rsid w:val="009B5A3E"/>
    <w:rsid w:val="009C26FF"/>
    <w:rsid w:val="009C7321"/>
    <w:rsid w:val="009C744A"/>
    <w:rsid w:val="009D1FF0"/>
    <w:rsid w:val="009E2187"/>
    <w:rsid w:val="009F0CAF"/>
    <w:rsid w:val="00A05DF9"/>
    <w:rsid w:val="00A066C2"/>
    <w:rsid w:val="00A077F4"/>
    <w:rsid w:val="00A20A5D"/>
    <w:rsid w:val="00A214D5"/>
    <w:rsid w:val="00A21C9E"/>
    <w:rsid w:val="00A21E23"/>
    <w:rsid w:val="00A225F8"/>
    <w:rsid w:val="00A33F9D"/>
    <w:rsid w:val="00A366C7"/>
    <w:rsid w:val="00A439F6"/>
    <w:rsid w:val="00A43B54"/>
    <w:rsid w:val="00A53638"/>
    <w:rsid w:val="00A5397F"/>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B671D"/>
    <w:rsid w:val="00AC42FA"/>
    <w:rsid w:val="00AC628F"/>
    <w:rsid w:val="00AD4016"/>
    <w:rsid w:val="00AE4A21"/>
    <w:rsid w:val="00AF0463"/>
    <w:rsid w:val="00AF1F6A"/>
    <w:rsid w:val="00AF6B79"/>
    <w:rsid w:val="00B03D55"/>
    <w:rsid w:val="00B03F4B"/>
    <w:rsid w:val="00B0480A"/>
    <w:rsid w:val="00B34B73"/>
    <w:rsid w:val="00B46CD8"/>
    <w:rsid w:val="00B526D0"/>
    <w:rsid w:val="00B538F8"/>
    <w:rsid w:val="00B539DE"/>
    <w:rsid w:val="00B548E5"/>
    <w:rsid w:val="00B61E51"/>
    <w:rsid w:val="00B67C3F"/>
    <w:rsid w:val="00B7276D"/>
    <w:rsid w:val="00B75A34"/>
    <w:rsid w:val="00B842C4"/>
    <w:rsid w:val="00B96328"/>
    <w:rsid w:val="00BA17F1"/>
    <w:rsid w:val="00BA5BEA"/>
    <w:rsid w:val="00BB5924"/>
    <w:rsid w:val="00BB7EA0"/>
    <w:rsid w:val="00BC0034"/>
    <w:rsid w:val="00BE2423"/>
    <w:rsid w:val="00BF042E"/>
    <w:rsid w:val="00BF6B43"/>
    <w:rsid w:val="00BF6DAF"/>
    <w:rsid w:val="00BF709A"/>
    <w:rsid w:val="00C026B6"/>
    <w:rsid w:val="00C07BAB"/>
    <w:rsid w:val="00C10C0A"/>
    <w:rsid w:val="00C119C2"/>
    <w:rsid w:val="00C16E86"/>
    <w:rsid w:val="00C2671C"/>
    <w:rsid w:val="00C37094"/>
    <w:rsid w:val="00C37441"/>
    <w:rsid w:val="00C43566"/>
    <w:rsid w:val="00C46383"/>
    <w:rsid w:val="00C46507"/>
    <w:rsid w:val="00C653E4"/>
    <w:rsid w:val="00C66D68"/>
    <w:rsid w:val="00C91607"/>
    <w:rsid w:val="00C928B1"/>
    <w:rsid w:val="00C9385D"/>
    <w:rsid w:val="00CA3905"/>
    <w:rsid w:val="00CB1F9B"/>
    <w:rsid w:val="00CB282E"/>
    <w:rsid w:val="00CB6FA0"/>
    <w:rsid w:val="00CB76F9"/>
    <w:rsid w:val="00CE7579"/>
    <w:rsid w:val="00CF1D41"/>
    <w:rsid w:val="00D03422"/>
    <w:rsid w:val="00D11BEC"/>
    <w:rsid w:val="00D1496A"/>
    <w:rsid w:val="00D15433"/>
    <w:rsid w:val="00D15543"/>
    <w:rsid w:val="00D21B2B"/>
    <w:rsid w:val="00D2557D"/>
    <w:rsid w:val="00D31005"/>
    <w:rsid w:val="00D50EBF"/>
    <w:rsid w:val="00D56A86"/>
    <w:rsid w:val="00D64139"/>
    <w:rsid w:val="00D6501B"/>
    <w:rsid w:val="00D66225"/>
    <w:rsid w:val="00D67D8E"/>
    <w:rsid w:val="00D92672"/>
    <w:rsid w:val="00D93E45"/>
    <w:rsid w:val="00DA51B6"/>
    <w:rsid w:val="00DA6A7A"/>
    <w:rsid w:val="00DB17C6"/>
    <w:rsid w:val="00DB29FE"/>
    <w:rsid w:val="00DC2909"/>
    <w:rsid w:val="00DC37A6"/>
    <w:rsid w:val="00DD7502"/>
    <w:rsid w:val="00DD7853"/>
    <w:rsid w:val="00DE102A"/>
    <w:rsid w:val="00DF0A7B"/>
    <w:rsid w:val="00DF2E97"/>
    <w:rsid w:val="00E0509D"/>
    <w:rsid w:val="00E135D2"/>
    <w:rsid w:val="00E22CAC"/>
    <w:rsid w:val="00E24F5B"/>
    <w:rsid w:val="00E3290A"/>
    <w:rsid w:val="00E32C0C"/>
    <w:rsid w:val="00E52FE4"/>
    <w:rsid w:val="00E56388"/>
    <w:rsid w:val="00E57C09"/>
    <w:rsid w:val="00E821A0"/>
    <w:rsid w:val="00E911B0"/>
    <w:rsid w:val="00EA6546"/>
    <w:rsid w:val="00EC01EF"/>
    <w:rsid w:val="00EC7F85"/>
    <w:rsid w:val="00ED5CFD"/>
    <w:rsid w:val="00EF6837"/>
    <w:rsid w:val="00F02D24"/>
    <w:rsid w:val="00F03751"/>
    <w:rsid w:val="00F211F4"/>
    <w:rsid w:val="00F230A0"/>
    <w:rsid w:val="00F231C9"/>
    <w:rsid w:val="00F23EF5"/>
    <w:rsid w:val="00F316A6"/>
    <w:rsid w:val="00F32E25"/>
    <w:rsid w:val="00F508E7"/>
    <w:rsid w:val="00F55455"/>
    <w:rsid w:val="00F56C9E"/>
    <w:rsid w:val="00F64BDB"/>
    <w:rsid w:val="00F6662C"/>
    <w:rsid w:val="00F66A49"/>
    <w:rsid w:val="00F717E5"/>
    <w:rsid w:val="00FA1DA9"/>
    <w:rsid w:val="00FA5458"/>
    <w:rsid w:val="00FB3A24"/>
    <w:rsid w:val="00FC6057"/>
    <w:rsid w:val="00FD12E4"/>
    <w:rsid w:val="00FD46F1"/>
    <w:rsid w:val="00FE68C7"/>
    <w:rsid w:val="00FF5F20"/>
    <w:rsid w:val="00FF61C5"/>
    <w:rsid w:val="00FF6625"/>
    <w:rsid w:val="00FF6C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979F8B1"/>
  <w15:docId w15:val="{513C0784-B9EA-463A-8ED9-4CA05E55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7492">
      <w:bodyDiv w:val="1"/>
      <w:marLeft w:val="0"/>
      <w:marRight w:val="0"/>
      <w:marTop w:val="0"/>
      <w:marBottom w:val="0"/>
      <w:divBdr>
        <w:top w:val="none" w:sz="0" w:space="0" w:color="auto"/>
        <w:left w:val="none" w:sz="0" w:space="0" w:color="auto"/>
        <w:bottom w:val="none" w:sz="0" w:space="0" w:color="auto"/>
        <w:right w:val="none" w:sz="0" w:space="0" w:color="auto"/>
      </w:divBdr>
    </w:div>
    <w:div w:id="58788394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90822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FCB95-0044-4FD1-9CDE-CFD5D2A8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826</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Adi</cp:lastModifiedBy>
  <cp:revision>49</cp:revision>
  <cp:lastPrinted>2022-10-21T06:52:00Z</cp:lastPrinted>
  <dcterms:created xsi:type="dcterms:W3CDTF">2021-10-21T10:34:00Z</dcterms:created>
  <dcterms:modified xsi:type="dcterms:W3CDTF">2024-07-19T09:31:00Z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