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C934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70E7940" w14:textId="1F94B92D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9320D2">
        <w:rPr>
          <w:rFonts w:ascii="Times New Roman" w:hAnsi="Times New Roman" w:cs="Times New Roman"/>
          <w:sz w:val="24"/>
          <w:szCs w:val="24"/>
        </w:rPr>
        <w:t>SCRIERE, IMPLEMENTARE ȘI MONITORIZARE PROIECTE</w:t>
      </w:r>
    </w:p>
    <w:p w14:paraId="414E7048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364BE6" w14:textId="4F3B0518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69788413"/>
      <w:r w:rsidR="00F062EC" w:rsidRPr="00F062E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37</w:t>
      </w:r>
      <w:r w:rsidR="00F062E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F062EC" w:rsidRPr="00F062E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467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1B563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20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4E44B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1B563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6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r w:rsidR="006E629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4</w:t>
      </w:r>
      <w:bookmarkEnd w:id="0"/>
    </w:p>
    <w:p w14:paraId="330ABD47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170C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D016C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698C72CF" w14:textId="603036B1" w:rsidR="00D31005" w:rsidRPr="00807850" w:rsidRDefault="00D31005" w:rsidP="00351B0A">
      <w:pPr>
        <w:jc w:val="both"/>
        <w:rPr>
          <w:szCs w:val="24"/>
        </w:rPr>
      </w:pPr>
      <w:r w:rsidRPr="00807850">
        <w:rPr>
          <w:szCs w:val="24"/>
        </w:rPr>
        <w:t xml:space="preserve">           Serviciul </w:t>
      </w:r>
      <w:r w:rsidR="009320D2" w:rsidRPr="009320D2">
        <w:rPr>
          <w:szCs w:val="24"/>
        </w:rPr>
        <w:t>scriere, implementare și monitorizare proiecte</w:t>
      </w:r>
      <w:r w:rsidR="009320D2">
        <w:rPr>
          <w:szCs w:val="24"/>
        </w:rPr>
        <w:t xml:space="preserve">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4C1D62AA" w14:textId="77777777" w:rsidR="00E57C09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EEA14" w14:textId="77777777" w:rsidR="00B17D62" w:rsidRPr="006D1D46" w:rsidRDefault="00B17D62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6BE55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09E2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7DBFAE0E" w14:textId="2CF17B89" w:rsidR="00121F18" w:rsidRDefault="001D6D04" w:rsidP="004E44B3">
      <w:pPr>
        <w:spacing w:after="0"/>
        <w:jc w:val="center"/>
        <w:rPr>
          <w:szCs w:val="24"/>
        </w:rPr>
      </w:pPr>
      <w:bookmarkStart w:id="1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bookmarkEnd w:id="1"/>
      <w:r w:rsidR="004E44B3" w:rsidRPr="004E44B3">
        <w:rPr>
          <w:szCs w:val="24"/>
          <w:lang w:val="en-US"/>
        </w:rPr>
        <w:t xml:space="preserve">privind </w:t>
      </w:r>
      <w:r w:rsidR="001B5630">
        <w:rPr>
          <w:szCs w:val="24"/>
          <w:lang w:val="en-US"/>
        </w:rPr>
        <w:t>modific</w:t>
      </w:r>
      <w:r w:rsidR="00055A5A">
        <w:rPr>
          <w:szCs w:val="24"/>
          <w:lang w:val="en-US"/>
        </w:rPr>
        <w:t>area</w:t>
      </w:r>
      <w:r w:rsidR="004E44B3" w:rsidRPr="004E44B3">
        <w:rPr>
          <w:szCs w:val="24"/>
          <w:lang w:val="en-US"/>
        </w:rPr>
        <w:t xml:space="preserve"> indicatorilor tehnico-economici la obiectivul de investiţie </w:t>
      </w:r>
      <w:r w:rsidR="002B41FD" w:rsidRPr="002B41FD">
        <w:rPr>
          <w:b/>
          <w:szCs w:val="24"/>
          <w:lang w:val="en-US"/>
        </w:rPr>
        <w:t>Transformarea zonei degradate malurile Someșului între cele 2 poduri în zonă de petrecere a timpului liber pentru comunitate</w:t>
      </w:r>
    </w:p>
    <w:p w14:paraId="3D854D44" w14:textId="77777777" w:rsidR="008706B5" w:rsidRDefault="008706B5" w:rsidP="00351B0A">
      <w:pPr>
        <w:spacing w:after="0"/>
        <w:jc w:val="both"/>
        <w:rPr>
          <w:szCs w:val="24"/>
        </w:rPr>
      </w:pPr>
    </w:p>
    <w:p w14:paraId="3DF1FF0C" w14:textId="77777777" w:rsidR="00B17D62" w:rsidRPr="006D1D46" w:rsidRDefault="00B17D62" w:rsidP="00351B0A">
      <w:pPr>
        <w:spacing w:after="0"/>
        <w:jc w:val="both"/>
        <w:rPr>
          <w:szCs w:val="24"/>
        </w:rPr>
      </w:pPr>
    </w:p>
    <w:p w14:paraId="40FDAAE4" w14:textId="7CFA8BF2" w:rsidR="006E6296" w:rsidRPr="006E6296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bookmarkStart w:id="2" w:name="_Hlk31895780"/>
      <w:bookmarkStart w:id="3" w:name="_Hlk22796876"/>
      <w:r w:rsidRPr="006E6296">
        <w:rPr>
          <w:rFonts w:eastAsia="SimSun"/>
          <w:szCs w:val="24"/>
          <w:lang w:eastAsia="zh-CN"/>
        </w:rPr>
        <w:t xml:space="preserve">Ținând cont de faptul că modificarea HG nr. 907/2016 prevede </w:t>
      </w:r>
      <w:r w:rsidR="00CC039B">
        <w:rPr>
          <w:rFonts w:eastAsia="SimSun"/>
          <w:szCs w:val="24"/>
          <w:lang w:eastAsia="zh-CN"/>
        </w:rPr>
        <w:t>i</w:t>
      </w:r>
      <w:r w:rsidRPr="006E6296">
        <w:rPr>
          <w:rFonts w:eastAsia="SimSun"/>
          <w:szCs w:val="24"/>
          <w:lang w:eastAsia="zh-CN"/>
        </w:rPr>
        <w:t xml:space="preserve">ntroducerea în structura Devizului General a unui capitol 7 și a unui subcapitol 3.8.3, </w:t>
      </w:r>
      <w:r w:rsidR="001B5630" w:rsidRPr="001B5630">
        <w:rPr>
          <w:rFonts w:eastAsia="SimSun"/>
          <w:szCs w:val="24"/>
          <w:lang w:eastAsia="zh-CN"/>
        </w:rPr>
        <w:t xml:space="preserve">precum și recomandarea primită de la ADR Nord Vest, </w:t>
      </w:r>
      <w:r w:rsidRPr="006E6296">
        <w:rPr>
          <w:rFonts w:eastAsia="SimSun"/>
          <w:szCs w:val="24"/>
          <w:lang w:eastAsia="zh-CN"/>
        </w:rPr>
        <w:t xml:space="preserve">este necesară </w:t>
      </w:r>
      <w:r w:rsidR="001B5630">
        <w:rPr>
          <w:rFonts w:eastAsia="SimSun"/>
          <w:szCs w:val="24"/>
          <w:lang w:eastAsia="zh-CN"/>
        </w:rPr>
        <w:t>modific</w:t>
      </w:r>
      <w:r w:rsidRPr="006E6296">
        <w:rPr>
          <w:rFonts w:eastAsia="SimSun"/>
          <w:szCs w:val="24"/>
          <w:lang w:eastAsia="zh-CN"/>
        </w:rPr>
        <w:t>area indicatorilor tehnico-economici ai obiectivului de investiții Transformarea zonei degradate malurile Someșului între cele 2 poduri în zonă de petrecere a timpului liber pentru comunitate.</w:t>
      </w:r>
    </w:p>
    <w:p w14:paraId="5E91C9F6" w14:textId="67515B53" w:rsidR="006E6296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 xml:space="preserve">Având în vedere că proiectul </w:t>
      </w:r>
      <w:r w:rsidR="00CC039B">
        <w:rPr>
          <w:rFonts w:eastAsia="SimSun"/>
          <w:szCs w:val="24"/>
          <w:lang w:eastAsia="zh-CN"/>
        </w:rPr>
        <w:t>a fost</w:t>
      </w:r>
      <w:r w:rsidRPr="006E6296">
        <w:rPr>
          <w:rFonts w:eastAsia="SimSun"/>
          <w:szCs w:val="24"/>
          <w:lang w:eastAsia="zh-CN"/>
        </w:rPr>
        <w:t xml:space="preserve"> etapiza</w:t>
      </w:r>
      <w:r w:rsidR="00CC039B">
        <w:rPr>
          <w:rFonts w:eastAsia="SimSun"/>
          <w:szCs w:val="24"/>
          <w:lang w:eastAsia="zh-CN"/>
        </w:rPr>
        <w:t>t</w:t>
      </w:r>
      <w:r w:rsidRPr="006E6296">
        <w:rPr>
          <w:rFonts w:eastAsia="SimSun"/>
          <w:szCs w:val="24"/>
          <w:lang w:eastAsia="zh-CN"/>
        </w:rPr>
        <w:t xml:space="preserve"> și va fi depus spre finanțare în cadrul noii perioade de finanțare a Programului Operațional Regional, s-a întocmit un Deviz General rest de executat pe care se va baza noua cerere de finanțare. </w:t>
      </w:r>
    </w:p>
    <w:p w14:paraId="7668D8DC" w14:textId="49812BD9" w:rsidR="00BB1953" w:rsidRPr="006E6296" w:rsidRDefault="00BB1953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Datorită faptului că la proiectele etapizate platforma MYSMIS nu conține linie bugetară aferentă subcapitolului 7.1, această linie s-a </w:t>
      </w:r>
      <w:r w:rsidR="00CC039B">
        <w:rPr>
          <w:rFonts w:eastAsia="SimSun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>ntrodus în devizele generale cu valoarea 0.</w:t>
      </w:r>
    </w:p>
    <w:p w14:paraId="2FE948DA" w14:textId="043C2872" w:rsidR="000E5921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În urma se modifică</w:t>
      </w:r>
      <w:r w:rsidR="001B5630">
        <w:rPr>
          <w:rFonts w:eastAsia="SimSun"/>
          <w:szCs w:val="24"/>
          <w:lang w:eastAsia="zh-CN"/>
        </w:rPr>
        <w:t>rii</w:t>
      </w:r>
      <w:r w:rsidRPr="006E6296">
        <w:rPr>
          <w:rFonts w:eastAsia="SimSun"/>
          <w:szCs w:val="24"/>
          <w:lang w:eastAsia="zh-CN"/>
        </w:rPr>
        <w:t xml:space="preserve"> valoril</w:t>
      </w:r>
      <w:r w:rsidR="000E4286">
        <w:rPr>
          <w:rFonts w:eastAsia="SimSun"/>
          <w:szCs w:val="24"/>
          <w:lang w:eastAsia="zh-CN"/>
        </w:rPr>
        <w:t>or</w:t>
      </w:r>
      <w:r w:rsidRPr="006E6296">
        <w:rPr>
          <w:rFonts w:eastAsia="SimSun"/>
          <w:szCs w:val="24"/>
          <w:lang w:eastAsia="zh-CN"/>
        </w:rPr>
        <w:t xml:space="preserve"> din devizul general</w:t>
      </w:r>
      <w:r w:rsidR="000E4286">
        <w:rPr>
          <w:rFonts w:eastAsia="SimSun"/>
          <w:szCs w:val="24"/>
          <w:lang w:eastAsia="zh-CN"/>
        </w:rPr>
        <w:t>,</w:t>
      </w:r>
      <w:r w:rsidRPr="006E6296">
        <w:rPr>
          <w:rFonts w:eastAsia="SimSun"/>
          <w:szCs w:val="24"/>
          <w:lang w:eastAsia="zh-CN"/>
        </w:rPr>
        <w:t xml:space="preserve"> </w:t>
      </w:r>
      <w:r w:rsidR="001B5630">
        <w:rPr>
          <w:rFonts w:eastAsia="SimSun"/>
          <w:szCs w:val="24"/>
          <w:lang w:eastAsia="zh-CN"/>
        </w:rPr>
        <w:t xml:space="preserve">indicatorii tehnico – economici </w:t>
      </w:r>
      <w:r w:rsidRPr="006E6296">
        <w:rPr>
          <w:rFonts w:eastAsia="SimSun"/>
          <w:szCs w:val="24"/>
          <w:lang w:eastAsia="zh-CN"/>
        </w:rPr>
        <w:t xml:space="preserve">pentru obiectivul de investiție Transformarea zonei degradate malurile Someșului între cele 2 poduri în zonă de petrecere a timpului liber pentru comunitate </w:t>
      </w:r>
      <w:r w:rsidR="001B5630">
        <w:rPr>
          <w:rFonts w:eastAsia="SimSun"/>
          <w:szCs w:val="24"/>
          <w:lang w:eastAsia="zh-CN"/>
        </w:rPr>
        <w:t>devin</w:t>
      </w:r>
      <w:r w:rsidRPr="006E6296">
        <w:rPr>
          <w:rFonts w:eastAsia="SimSun"/>
          <w:szCs w:val="24"/>
          <w:lang w:eastAsia="zh-CN"/>
        </w:rPr>
        <w:t>:</w:t>
      </w:r>
    </w:p>
    <w:p w14:paraId="664A7DDC" w14:textId="77777777" w:rsidR="006E6296" w:rsidRPr="000E5921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</w:p>
    <w:p w14:paraId="14BB61D8" w14:textId="0A57E862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INDICATORI  TEHNICO – ECONOMICI  :</w:t>
      </w:r>
    </w:p>
    <w:p w14:paraId="697A9F3D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358C7FC7" w14:textId="1FF1C9AF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Valoarea totală a investiției:</w:t>
      </w:r>
      <w:r w:rsidRPr="006E6296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             </w:t>
      </w:r>
      <w:r w:rsidR="005704D6" w:rsidRPr="005704D6">
        <w:rPr>
          <w:rFonts w:eastAsia="SimSun"/>
          <w:szCs w:val="24"/>
          <w:lang w:eastAsia="zh-CN"/>
        </w:rPr>
        <w:t>10.246.449,09 lei (fără TVA) /12.182.496,64 lei (cu TVA)</w:t>
      </w:r>
    </w:p>
    <w:p w14:paraId="6A0ED340" w14:textId="77777777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din care</w:t>
      </w:r>
    </w:p>
    <w:p w14:paraId="55CB35E9" w14:textId="1BB16729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construcții-montaj:</w:t>
      </w:r>
      <w:r w:rsidRPr="006E6296">
        <w:rPr>
          <w:rFonts w:eastAsia="SimSun"/>
          <w:szCs w:val="24"/>
          <w:lang w:eastAsia="zh-CN"/>
        </w:rPr>
        <w:tab/>
        <w:t xml:space="preserve">                         </w:t>
      </w:r>
      <w:r w:rsidR="005704D6" w:rsidRPr="005704D6">
        <w:rPr>
          <w:rFonts w:eastAsia="SimSun"/>
          <w:szCs w:val="24"/>
          <w:lang w:eastAsia="zh-CN"/>
        </w:rPr>
        <w:t>5.183.903,74 lei (fără TVA) /6.168.845,45 lei (cu TVA)</w:t>
      </w:r>
    </w:p>
    <w:p w14:paraId="18A4EE55" w14:textId="1B957D02" w:rsidR="000E5921" w:rsidRPr="000E5921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dotări:</w:t>
      </w:r>
      <w:r w:rsidRPr="006E6296">
        <w:rPr>
          <w:rFonts w:eastAsia="SimSun"/>
          <w:szCs w:val="24"/>
          <w:lang w:eastAsia="zh-CN"/>
        </w:rPr>
        <w:tab/>
      </w:r>
      <w:r w:rsidRPr="006E6296">
        <w:rPr>
          <w:rFonts w:eastAsia="SimSun"/>
          <w:szCs w:val="24"/>
          <w:lang w:eastAsia="zh-CN"/>
        </w:rPr>
        <w:tab/>
      </w:r>
      <w:r w:rsidRPr="006E6296">
        <w:rPr>
          <w:rFonts w:eastAsia="SimSun"/>
          <w:szCs w:val="24"/>
          <w:lang w:eastAsia="zh-CN"/>
        </w:rPr>
        <w:tab/>
      </w:r>
      <w:r w:rsidRPr="006E6296">
        <w:rPr>
          <w:rFonts w:eastAsia="SimSun"/>
          <w:szCs w:val="24"/>
          <w:lang w:eastAsia="zh-CN"/>
        </w:rPr>
        <w:tab/>
        <w:t xml:space="preserve">  </w:t>
      </w:r>
      <w:r>
        <w:rPr>
          <w:rFonts w:eastAsia="SimSun"/>
          <w:szCs w:val="24"/>
          <w:lang w:eastAsia="zh-CN"/>
        </w:rPr>
        <w:t xml:space="preserve">              </w:t>
      </w:r>
      <w:r w:rsidRPr="006E6296">
        <w:rPr>
          <w:rFonts w:eastAsia="SimSun"/>
          <w:szCs w:val="24"/>
          <w:lang w:eastAsia="zh-CN"/>
        </w:rPr>
        <w:t xml:space="preserve"> </w:t>
      </w:r>
      <w:r w:rsidR="005704D6" w:rsidRPr="005704D6">
        <w:rPr>
          <w:rFonts w:eastAsia="SimSun"/>
          <w:szCs w:val="24"/>
          <w:lang w:eastAsia="zh-CN"/>
        </w:rPr>
        <w:t xml:space="preserve">765.744,00 lei (fără TVA)/ 911.235,36 </w:t>
      </w:r>
      <w:r w:rsidR="005704D6">
        <w:rPr>
          <w:rFonts w:eastAsia="SimSun"/>
          <w:szCs w:val="24"/>
          <w:lang w:eastAsia="zh-CN"/>
        </w:rPr>
        <w:t xml:space="preserve">lei </w:t>
      </w:r>
      <w:r w:rsidR="005704D6" w:rsidRPr="005704D6">
        <w:rPr>
          <w:rFonts w:eastAsia="SimSun"/>
          <w:szCs w:val="24"/>
          <w:lang w:eastAsia="zh-CN"/>
        </w:rPr>
        <w:t>(cu TVA)</w:t>
      </w:r>
    </w:p>
    <w:p w14:paraId="62C1B784" w14:textId="1FBDB9BC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Durata de realizare a investiției :</w:t>
      </w:r>
      <w:r w:rsidRPr="000E5921">
        <w:rPr>
          <w:rFonts w:eastAsia="SimSun"/>
          <w:szCs w:val="24"/>
          <w:lang w:eastAsia="zh-CN"/>
        </w:rPr>
        <w:tab/>
        <w:t xml:space="preserve"> </w:t>
      </w:r>
      <w:r w:rsidR="00FA3A9B">
        <w:rPr>
          <w:rFonts w:eastAsia="SimSun"/>
          <w:szCs w:val="24"/>
          <w:lang w:eastAsia="zh-CN"/>
        </w:rPr>
        <w:t>45</w:t>
      </w:r>
      <w:r w:rsidRPr="000E5921">
        <w:rPr>
          <w:rFonts w:eastAsia="SimSun"/>
          <w:szCs w:val="24"/>
          <w:lang w:eastAsia="zh-CN"/>
        </w:rPr>
        <w:t xml:space="preserve"> luni</w:t>
      </w:r>
    </w:p>
    <w:p w14:paraId="73B9A0F3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45634D41" w14:textId="5EEA3E8D" w:rsidR="008F479D" w:rsidRDefault="008F479D" w:rsidP="008F479D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Investiția este realizată</w:t>
      </w:r>
      <w:r w:rsidR="000E5921" w:rsidRPr="000E5921">
        <w:rPr>
          <w:rFonts w:eastAsia="SimSun"/>
          <w:szCs w:val="24"/>
          <w:lang w:eastAsia="zh-CN"/>
        </w:rPr>
        <w:t xml:space="preserve"> din Fonduri Externe Nerambursabile prin Programul Operațional Regional </w:t>
      </w:r>
      <w:r w:rsidR="00BB1953" w:rsidRPr="00BB1953">
        <w:rPr>
          <w:rFonts w:eastAsia="SimSun"/>
          <w:szCs w:val="24"/>
          <w:lang w:eastAsia="zh-CN"/>
        </w:rPr>
        <w:t xml:space="preserve">2021-2027 </w:t>
      </w:r>
      <w:r w:rsidR="000E5921" w:rsidRPr="000E5921">
        <w:rPr>
          <w:rFonts w:eastAsia="SimSun"/>
          <w:szCs w:val="24"/>
          <w:lang w:eastAsia="zh-CN"/>
        </w:rPr>
        <w:t>și din bugetul de venituri și cheltuieli al Municipiului Satu Mare.</w:t>
      </w:r>
      <w:r w:rsidR="007603EC">
        <w:rPr>
          <w:rFonts w:eastAsia="SimSun"/>
          <w:szCs w:val="24"/>
          <w:lang w:eastAsia="zh-CN"/>
        </w:rPr>
        <w:tab/>
      </w:r>
      <w:bookmarkEnd w:id="2"/>
      <w:bookmarkEnd w:id="3"/>
    </w:p>
    <w:p w14:paraId="4383A60A" w14:textId="2C9403D2" w:rsidR="00A63A65" w:rsidRPr="000730A2" w:rsidRDefault="00A63A65" w:rsidP="008F479D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fonduri publice locale se cuprind în </w:t>
      </w:r>
      <w:r w:rsidRPr="000730A2">
        <w:rPr>
          <w:rFonts w:eastAsiaTheme="minorHAnsi"/>
          <w:szCs w:val="24"/>
        </w:rPr>
        <w:lastRenderedPageBreak/>
        <w:t xml:space="preserve">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deliberative….”</w:t>
      </w:r>
    </w:p>
    <w:p w14:paraId="2C85A24E" w14:textId="77777777" w:rsidR="0058249B" w:rsidRDefault="0058249B" w:rsidP="000E5921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și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14:paraId="1DB0478E" w14:textId="77777777" w:rsidR="00B17D62" w:rsidRDefault="00B17D62" w:rsidP="000E5921">
      <w:pPr>
        <w:spacing w:after="0" w:line="240" w:lineRule="auto"/>
        <w:ind w:firstLine="720"/>
        <w:jc w:val="both"/>
        <w:rPr>
          <w:szCs w:val="24"/>
        </w:rPr>
      </w:pPr>
    </w:p>
    <w:p w14:paraId="0EB5D56D" w14:textId="21CA2232" w:rsidR="00807850" w:rsidRDefault="0058249B" w:rsidP="000E5921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Ținând cont și de documentația suport (Referatul </w:t>
      </w:r>
      <w:r w:rsidR="001C0FB9" w:rsidRPr="001C0FB9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1B5630">
        <w:rPr>
          <w:rFonts w:ascii="Times New Roman" w:eastAsia="Calibri" w:hAnsi="Times New Roman" w:cs="Times New Roman"/>
          <w:sz w:val="24"/>
          <w:szCs w:val="24"/>
        </w:rPr>
        <w:t>37.320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/1</w:t>
      </w:r>
      <w:r w:rsidR="001B5630">
        <w:rPr>
          <w:rFonts w:ascii="Times New Roman" w:eastAsia="Calibri" w:hAnsi="Times New Roman" w:cs="Times New Roman"/>
          <w:sz w:val="24"/>
          <w:szCs w:val="24"/>
        </w:rPr>
        <w:t>9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.0</w:t>
      </w:r>
      <w:r w:rsidR="001B5630">
        <w:rPr>
          <w:rFonts w:ascii="Times New Roman" w:eastAsia="Calibri" w:hAnsi="Times New Roman" w:cs="Times New Roman"/>
          <w:sz w:val="24"/>
          <w:szCs w:val="24"/>
        </w:rPr>
        <w:t>6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.2024</w:t>
      </w:r>
      <w:r w:rsidR="006E6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tehnico-economice a indicatorilor tehnico-economici </w:t>
      </w:r>
      <w:r w:rsidR="001B5630">
        <w:rPr>
          <w:rFonts w:ascii="Times New Roman" w:eastAsia="Calibri" w:hAnsi="Times New Roman" w:cs="Times New Roman"/>
          <w:sz w:val="24"/>
          <w:szCs w:val="24"/>
        </w:rPr>
        <w:t>modific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ați </w:t>
      </w:r>
      <w:r w:rsidRPr="0058249B">
        <w:rPr>
          <w:rFonts w:ascii="Times New Roman" w:eastAsia="Calibri" w:hAnsi="Times New Roman" w:cs="Times New Roman"/>
          <w:sz w:val="24"/>
          <w:szCs w:val="24"/>
        </w:rPr>
        <w:t>ai obiectivului de investiție ”</w:t>
      </w:r>
      <w:r w:rsidR="002B41FD" w:rsidRPr="002B41FD">
        <w:rPr>
          <w:rFonts w:ascii="Times New Roman" w:eastAsia="Calibri" w:hAnsi="Times New Roman" w:cs="Times New Roman"/>
          <w:sz w:val="24"/>
          <w:szCs w:val="24"/>
        </w:rPr>
        <w:t>Transformarea zonei degradate malurile Someșului între cele 2 poduri în zonă de petrecere a timpului liber pentru comunitate</w:t>
      </w:r>
      <w:r w:rsidRPr="0058249B">
        <w:rPr>
          <w:rFonts w:ascii="Times New Roman" w:eastAsia="Calibri" w:hAnsi="Times New Roman" w:cs="Times New Roman"/>
          <w:sz w:val="24"/>
          <w:szCs w:val="24"/>
        </w:rPr>
        <w:t>”, procesul verba</w:t>
      </w:r>
      <w:r w:rsidR="00927F88">
        <w:rPr>
          <w:rFonts w:ascii="Times New Roman" w:eastAsia="Calibri" w:hAnsi="Times New Roman" w:cs="Times New Roman"/>
          <w:sz w:val="24"/>
          <w:szCs w:val="24"/>
        </w:rPr>
        <w:t>l al Comisiei tehnico-economice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1B5630">
        <w:rPr>
          <w:rFonts w:ascii="Times New Roman" w:eastAsia="Calibri" w:hAnsi="Times New Roman" w:cs="Times New Roman"/>
          <w:sz w:val="24"/>
          <w:szCs w:val="24"/>
        </w:rPr>
        <w:t>37.235</w:t>
      </w:r>
      <w:r w:rsidR="001C0FB9">
        <w:rPr>
          <w:rFonts w:ascii="Times New Roman" w:eastAsia="Calibri" w:hAnsi="Times New Roman" w:cs="Times New Roman"/>
          <w:sz w:val="24"/>
          <w:szCs w:val="24"/>
        </w:rPr>
        <w:t>/</w:t>
      </w:r>
      <w:r w:rsidR="001B5630">
        <w:rPr>
          <w:rFonts w:ascii="Times New Roman" w:eastAsia="Calibri" w:hAnsi="Times New Roman" w:cs="Times New Roman"/>
          <w:sz w:val="24"/>
          <w:szCs w:val="24"/>
        </w:rPr>
        <w:t>20</w:t>
      </w:r>
      <w:r w:rsidR="001C0FB9">
        <w:rPr>
          <w:rFonts w:ascii="Times New Roman" w:eastAsia="Calibri" w:hAnsi="Times New Roman" w:cs="Times New Roman"/>
          <w:sz w:val="24"/>
          <w:szCs w:val="24"/>
        </w:rPr>
        <w:t>.0</w:t>
      </w:r>
      <w:r w:rsidR="001B5630">
        <w:rPr>
          <w:rFonts w:ascii="Times New Roman" w:eastAsia="Calibri" w:hAnsi="Times New Roman" w:cs="Times New Roman"/>
          <w:sz w:val="24"/>
          <w:szCs w:val="24"/>
        </w:rPr>
        <w:t>6</w:t>
      </w:r>
      <w:r w:rsidR="001C0FB9">
        <w:rPr>
          <w:rFonts w:ascii="Times New Roman" w:eastAsia="Calibri" w:hAnsi="Times New Roman" w:cs="Times New Roman"/>
          <w:sz w:val="24"/>
          <w:szCs w:val="24"/>
        </w:rPr>
        <w:t>.202</w:t>
      </w:r>
      <w:r w:rsidR="006E6296">
        <w:rPr>
          <w:rFonts w:ascii="Times New Roman" w:eastAsia="Calibri" w:hAnsi="Times New Roman" w:cs="Times New Roman"/>
          <w:sz w:val="24"/>
          <w:szCs w:val="24"/>
        </w:rPr>
        <w:t>4</w:t>
      </w:r>
      <w:r w:rsidRPr="0058249B">
        <w:rPr>
          <w:rFonts w:ascii="Times New Roman" w:eastAsia="Calibri" w:hAnsi="Times New Roman" w:cs="Times New Roman"/>
          <w:sz w:val="24"/>
          <w:szCs w:val="24"/>
        </w:rPr>
        <w:t>),  proiectul de hotărâre se înaintează Consiliului Local al Municipiului Satu Mare cu propunere de aprobare.</w:t>
      </w:r>
    </w:p>
    <w:p w14:paraId="70C96AF8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19AB05" w14:textId="77777777" w:rsidR="0030699B" w:rsidRDefault="0030699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C2D3A1" w14:textId="77777777" w:rsidR="00B17D62" w:rsidRDefault="00B17D6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3DA838" w14:textId="7777777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7E6B5949" w14:textId="5C75A095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2B41FD">
        <w:rPr>
          <w:rFonts w:ascii="Times New Roman" w:hAnsi="Times New Roman" w:cs="Times New Roman"/>
          <w:sz w:val="24"/>
          <w:szCs w:val="24"/>
        </w:rPr>
        <w:t>e</w:t>
      </w:r>
      <w:r w:rsidR="0086649E" w:rsidRPr="006D1D46">
        <w:rPr>
          <w:rFonts w:ascii="Times New Roman" w:hAnsi="Times New Roman" w:cs="Times New Roman"/>
          <w:sz w:val="24"/>
          <w:szCs w:val="24"/>
        </w:rPr>
        <w:t>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94417A">
        <w:rPr>
          <w:rFonts w:ascii="Times New Roman" w:hAnsi="Times New Roman" w:cs="Times New Roman"/>
          <w:sz w:val="24"/>
          <w:szCs w:val="24"/>
        </w:rPr>
        <w:t xml:space="preserve"> dr. Sveda Andrea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4D49C4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13D4F8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162B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D055500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09AB1B2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9FEB8F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71C840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01A110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B65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3CAF3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D1A382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1EA11D6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D9AA3A3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C01671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CDC43F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27D1BD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7A6214A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5807B8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B2D1701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BD8504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48BFE7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9AD28A9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FDE60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6DDC6D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AE2B8C" w14:textId="77777777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F4D8F">
        <w:rPr>
          <w:rFonts w:ascii="Times New Roman" w:eastAsia="Calibri" w:hAnsi="Times New Roman" w:cs="Times New Roman"/>
          <w:sz w:val="16"/>
          <w:szCs w:val="16"/>
        </w:rPr>
        <w:t>Szucs Zsigmond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AAE5" w14:textId="77777777" w:rsidR="00564E94" w:rsidRDefault="00564E94" w:rsidP="0011506A">
      <w:pPr>
        <w:spacing w:after="0" w:line="240" w:lineRule="auto"/>
      </w:pPr>
      <w:r>
        <w:separator/>
      </w:r>
    </w:p>
  </w:endnote>
  <w:endnote w:type="continuationSeparator" w:id="0">
    <w:p w14:paraId="1E522610" w14:textId="77777777" w:rsidR="00564E94" w:rsidRDefault="00564E9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090E53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775282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3D9ED" w14:textId="77777777" w:rsidR="00564E94" w:rsidRDefault="00564E94" w:rsidP="0011506A">
      <w:pPr>
        <w:spacing w:after="0" w:line="240" w:lineRule="auto"/>
      </w:pPr>
      <w:r>
        <w:separator/>
      </w:r>
    </w:p>
  </w:footnote>
  <w:footnote w:type="continuationSeparator" w:id="0">
    <w:p w14:paraId="34039279" w14:textId="77777777" w:rsidR="00564E94" w:rsidRDefault="00564E9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58390">
    <w:abstractNumId w:val="5"/>
  </w:num>
  <w:num w:numId="2" w16cid:durableId="1593126952">
    <w:abstractNumId w:val="6"/>
  </w:num>
  <w:num w:numId="3" w16cid:durableId="811141860">
    <w:abstractNumId w:val="1"/>
  </w:num>
  <w:num w:numId="4" w16cid:durableId="1479421556">
    <w:abstractNumId w:val="3"/>
  </w:num>
  <w:num w:numId="5" w16cid:durableId="1298606578">
    <w:abstractNumId w:val="4"/>
  </w:num>
  <w:num w:numId="6" w16cid:durableId="1278413670">
    <w:abstractNumId w:val="2"/>
  </w:num>
  <w:num w:numId="7" w16cid:durableId="35168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74"/>
    <w:rsid w:val="00021BE9"/>
    <w:rsid w:val="00054AE2"/>
    <w:rsid w:val="00055A5A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E4286"/>
    <w:rsid w:val="000E592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3B44"/>
    <w:rsid w:val="00165CF5"/>
    <w:rsid w:val="00167775"/>
    <w:rsid w:val="00170740"/>
    <w:rsid w:val="00191442"/>
    <w:rsid w:val="00196105"/>
    <w:rsid w:val="00197734"/>
    <w:rsid w:val="001A5646"/>
    <w:rsid w:val="001B5630"/>
    <w:rsid w:val="001C0FB9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B41FD"/>
    <w:rsid w:val="002C0453"/>
    <w:rsid w:val="002C1202"/>
    <w:rsid w:val="002C3CC0"/>
    <w:rsid w:val="002E1760"/>
    <w:rsid w:val="002E19CE"/>
    <w:rsid w:val="002E41F7"/>
    <w:rsid w:val="002E4817"/>
    <w:rsid w:val="002E56A4"/>
    <w:rsid w:val="002F16AA"/>
    <w:rsid w:val="002F4904"/>
    <w:rsid w:val="002F7C67"/>
    <w:rsid w:val="0030699B"/>
    <w:rsid w:val="00316D43"/>
    <w:rsid w:val="00322939"/>
    <w:rsid w:val="00324134"/>
    <w:rsid w:val="00326FAA"/>
    <w:rsid w:val="00334FA9"/>
    <w:rsid w:val="00337504"/>
    <w:rsid w:val="00337AA4"/>
    <w:rsid w:val="003401E0"/>
    <w:rsid w:val="00343986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87FF9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2DF"/>
    <w:rsid w:val="00401941"/>
    <w:rsid w:val="0041269B"/>
    <w:rsid w:val="00424DCC"/>
    <w:rsid w:val="00427129"/>
    <w:rsid w:val="0043418F"/>
    <w:rsid w:val="004452C5"/>
    <w:rsid w:val="00446073"/>
    <w:rsid w:val="00467746"/>
    <w:rsid w:val="00467E16"/>
    <w:rsid w:val="00472FBE"/>
    <w:rsid w:val="0047341B"/>
    <w:rsid w:val="00477845"/>
    <w:rsid w:val="004C22F8"/>
    <w:rsid w:val="004C29AD"/>
    <w:rsid w:val="004C5D13"/>
    <w:rsid w:val="004D014B"/>
    <w:rsid w:val="004D0D1D"/>
    <w:rsid w:val="004D6684"/>
    <w:rsid w:val="004D6F65"/>
    <w:rsid w:val="004E014E"/>
    <w:rsid w:val="004E44B3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64E94"/>
    <w:rsid w:val="005704D6"/>
    <w:rsid w:val="00570841"/>
    <w:rsid w:val="00570977"/>
    <w:rsid w:val="00574D80"/>
    <w:rsid w:val="0058249B"/>
    <w:rsid w:val="005A01E4"/>
    <w:rsid w:val="005A272F"/>
    <w:rsid w:val="005B174F"/>
    <w:rsid w:val="005B25CD"/>
    <w:rsid w:val="005C1A09"/>
    <w:rsid w:val="005D6921"/>
    <w:rsid w:val="005E4927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A70FA"/>
    <w:rsid w:val="006B1BD0"/>
    <w:rsid w:val="006B7DE1"/>
    <w:rsid w:val="006C7912"/>
    <w:rsid w:val="006D1C5B"/>
    <w:rsid w:val="006D1D46"/>
    <w:rsid w:val="006D7D47"/>
    <w:rsid w:val="006E6296"/>
    <w:rsid w:val="007018DE"/>
    <w:rsid w:val="00701D79"/>
    <w:rsid w:val="00703F32"/>
    <w:rsid w:val="00707C9B"/>
    <w:rsid w:val="00720A68"/>
    <w:rsid w:val="00733331"/>
    <w:rsid w:val="007335B6"/>
    <w:rsid w:val="00736AB8"/>
    <w:rsid w:val="00745320"/>
    <w:rsid w:val="007603EC"/>
    <w:rsid w:val="00763344"/>
    <w:rsid w:val="00775FCB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52F2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70732"/>
    <w:rsid w:val="00881562"/>
    <w:rsid w:val="00891650"/>
    <w:rsid w:val="008A1469"/>
    <w:rsid w:val="008B4D52"/>
    <w:rsid w:val="008C4C30"/>
    <w:rsid w:val="008C7037"/>
    <w:rsid w:val="008E13B6"/>
    <w:rsid w:val="008F479D"/>
    <w:rsid w:val="00913EDE"/>
    <w:rsid w:val="00916D7F"/>
    <w:rsid w:val="00916EF1"/>
    <w:rsid w:val="009179E5"/>
    <w:rsid w:val="00927F88"/>
    <w:rsid w:val="00930004"/>
    <w:rsid w:val="009320D2"/>
    <w:rsid w:val="009349AD"/>
    <w:rsid w:val="00936EBF"/>
    <w:rsid w:val="009424D1"/>
    <w:rsid w:val="0094417A"/>
    <w:rsid w:val="0095123F"/>
    <w:rsid w:val="00953E9C"/>
    <w:rsid w:val="00957387"/>
    <w:rsid w:val="009577FA"/>
    <w:rsid w:val="00973749"/>
    <w:rsid w:val="00984001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85D3C"/>
    <w:rsid w:val="00A90D41"/>
    <w:rsid w:val="00A92995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11545"/>
    <w:rsid w:val="00B17D6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1953"/>
    <w:rsid w:val="00BB7EA0"/>
    <w:rsid w:val="00BC003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53E4"/>
    <w:rsid w:val="00C66D68"/>
    <w:rsid w:val="00C91607"/>
    <w:rsid w:val="00C917D9"/>
    <w:rsid w:val="00C928B1"/>
    <w:rsid w:val="00C9385D"/>
    <w:rsid w:val="00CA3905"/>
    <w:rsid w:val="00CA5258"/>
    <w:rsid w:val="00CB1F9B"/>
    <w:rsid w:val="00CB282E"/>
    <w:rsid w:val="00CC039B"/>
    <w:rsid w:val="00CE7579"/>
    <w:rsid w:val="00CF1D41"/>
    <w:rsid w:val="00D11BEC"/>
    <w:rsid w:val="00D21B2B"/>
    <w:rsid w:val="00D2557D"/>
    <w:rsid w:val="00D31005"/>
    <w:rsid w:val="00D322BE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D04BF"/>
    <w:rsid w:val="00DD60BF"/>
    <w:rsid w:val="00DD7502"/>
    <w:rsid w:val="00DD7853"/>
    <w:rsid w:val="00DE102A"/>
    <w:rsid w:val="00DF0A7B"/>
    <w:rsid w:val="00DF2E97"/>
    <w:rsid w:val="00E0509D"/>
    <w:rsid w:val="00E13D22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D3A34"/>
    <w:rsid w:val="00EF6837"/>
    <w:rsid w:val="00F02D24"/>
    <w:rsid w:val="00F03751"/>
    <w:rsid w:val="00F062EC"/>
    <w:rsid w:val="00F231C9"/>
    <w:rsid w:val="00F23EF5"/>
    <w:rsid w:val="00F316A6"/>
    <w:rsid w:val="00F508E7"/>
    <w:rsid w:val="00F64BDB"/>
    <w:rsid w:val="00F66A49"/>
    <w:rsid w:val="00FA1DA9"/>
    <w:rsid w:val="00FA3A9B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21170A5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C6ADF6-A0C5-408B-9D46-FCC74C975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Zsigmond Szucs</cp:lastModifiedBy>
  <cp:revision>82</cp:revision>
  <cp:lastPrinted>2021-07-06T08:11:00Z</cp:lastPrinted>
  <dcterms:created xsi:type="dcterms:W3CDTF">2021-05-21T05:06:00Z</dcterms:created>
  <dcterms:modified xsi:type="dcterms:W3CDTF">2024-06-21T08:21:00Z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