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4F71DA85" w14:textId="7676731D" w:rsidR="004C11E5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</w:p>
    <w:p w14:paraId="392B1BEB" w14:textId="77777777" w:rsidR="00FF42ED" w:rsidRPr="00FD62BE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</w:p>
    <w:p w14:paraId="5DD8F150" w14:textId="10FF2FF2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EF6F76">
        <w:rPr>
          <w:color w:val="000000" w:themeColor="text1"/>
        </w:rPr>
        <w:t>Dimofte Claudiu Mugurel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EF6F76">
        <w:rPr>
          <w:color w:val="000000" w:themeColor="text1"/>
        </w:rPr>
        <w:t>8816</w:t>
      </w:r>
      <w:r w:rsidR="007C3A03" w:rsidRPr="00FD62BE">
        <w:rPr>
          <w:color w:val="000000" w:themeColor="text1"/>
        </w:rPr>
        <w:t>/</w:t>
      </w:r>
      <w:r w:rsidR="00EF6F76">
        <w:rPr>
          <w:color w:val="000000" w:themeColor="text1"/>
        </w:rPr>
        <w:t>08</w:t>
      </w:r>
      <w:r w:rsidR="007C3A03" w:rsidRPr="00FD62BE">
        <w:rPr>
          <w:color w:val="000000" w:themeColor="text1"/>
        </w:rPr>
        <w:t>.</w:t>
      </w:r>
      <w:r w:rsidR="006622FA">
        <w:rPr>
          <w:color w:val="000000" w:themeColor="text1"/>
        </w:rPr>
        <w:t>0</w:t>
      </w:r>
      <w:r w:rsidR="00EF6F76">
        <w:rPr>
          <w:color w:val="000000" w:themeColor="text1"/>
        </w:rPr>
        <w:t>2</w:t>
      </w:r>
      <w:r w:rsidR="007C3A03" w:rsidRPr="00FD62BE">
        <w:rPr>
          <w:color w:val="000000" w:themeColor="text1"/>
        </w:rPr>
        <w:t>.202</w:t>
      </w:r>
      <w:r w:rsidR="006622FA">
        <w:rPr>
          <w:color w:val="000000" w:themeColor="text1"/>
        </w:rPr>
        <w:t>3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51A2B76F" w14:textId="77777777" w:rsidR="00D0475D" w:rsidRDefault="00D0475D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4B182A76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F6F76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F6F76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22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</w:p>
    <w:p w14:paraId="182AA21A" w14:textId="77777777" w:rsidR="00D0475D" w:rsidRDefault="00D0475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DBF38E4" w14:textId="725FAA54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EF6F76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Zonă de agrement privat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2500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180433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8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0433, drumul Petalelor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; teren aflat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solicitantului și a soției,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Dimofte Alina-Maria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4AEB8039" w14:textId="52D0AB3F" w:rsidR="006622FA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2C256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Birou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Individual </w:t>
      </w:r>
      <w:r w:rsidR="002C256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de Arhitectură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Varga Ludovic</w:t>
      </w:r>
      <w:r w:rsidR="002C256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</w:p>
    <w:p w14:paraId="66FE1513" w14:textId="6FC3499F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1868EB">
        <w:rPr>
          <w:rFonts w:ascii="Times New Roman" w:eastAsia="Times New Roman" w:hAnsi="Times New Roman"/>
          <w:color w:val="000000" w:themeColor="text1"/>
          <w:sz w:val="24"/>
          <w:szCs w:val="24"/>
        </w:rPr>
        <w:t>Varga Ludovic</w:t>
      </w:r>
    </w:p>
    <w:p w14:paraId="64B555C2" w14:textId="77777777" w:rsidR="004C11E5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p w14:paraId="78B677B6" w14:textId="77777777" w:rsidR="00693F2C" w:rsidRPr="00FD62BE" w:rsidRDefault="00693F2C" w:rsidP="00DA15CB">
      <w:pPr>
        <w:pStyle w:val="al"/>
        <w:spacing w:before="0" w:beforeAutospacing="0" w:after="0" w:afterAutospacing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FD62BE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FD62BE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</w:t>
            </w:r>
            <w:r w:rsidR="00693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Z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 aprobate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3CF6D288" w:rsidR="00757AA4" w:rsidRPr="00FD62BE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33B2A340" w14:textId="620D95A5" w:rsidR="00757AA4" w:rsidRPr="00FD62BE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3F7889D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4E16AD" w14:textId="141845E0" w:rsidR="00757AA4" w:rsidRPr="00FD62BE" w:rsidRDefault="00FE1BEB" w:rsidP="001868EB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</w:t>
            </w:r>
            <w:r w:rsidR="006622F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de </w:t>
            </w:r>
            <w:r w:rsidR="001868E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agrement privat</w:t>
            </w:r>
          </w:p>
        </w:tc>
      </w:tr>
      <w:tr w:rsidR="00FD62BE" w:rsidRPr="00FD62BE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0BB02A4" w14:textId="2A40EDBE" w:rsidR="00693F2C" w:rsidRPr="00FD62BE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14:paraId="4C427685" w14:textId="23C0425C" w:rsidR="00225489" w:rsidRPr="00FD62BE" w:rsidRDefault="00EA7D00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</w:t>
            </w:r>
            <w:r w:rsidR="00167C5A" w:rsidRPr="00FD62BE">
              <w:rPr>
                <w:color w:val="000000" w:themeColor="text1"/>
              </w:rPr>
              <w:t>P+1</w:t>
            </w:r>
          </w:p>
          <w:p w14:paraId="71D83210" w14:textId="77777777" w:rsidR="000236B8" w:rsidRDefault="000236B8" w:rsidP="00EA7D00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 w:rsidR="001868EB">
              <w:rPr>
                <w:color w:val="000000" w:themeColor="text1"/>
                <w:vertAlign w:val="subscript"/>
              </w:rPr>
              <w:t>strașină</w:t>
            </w:r>
            <w:r w:rsidRPr="00FD62BE">
              <w:rPr>
                <w:color w:val="000000" w:themeColor="text1"/>
              </w:rPr>
              <w:t xml:space="preserve">: </w:t>
            </w:r>
            <w:r w:rsidR="00EA7D00">
              <w:rPr>
                <w:color w:val="000000" w:themeColor="text1"/>
              </w:rPr>
              <w:t>7</w:t>
            </w:r>
            <w:r w:rsidR="002C2564">
              <w:rPr>
                <w:color w:val="000000" w:themeColor="text1"/>
              </w:rPr>
              <w:t>.00m</w:t>
            </w:r>
          </w:p>
          <w:p w14:paraId="691AAF8E" w14:textId="66BF3599" w:rsidR="00EA7D00" w:rsidRPr="00FD62BE" w:rsidRDefault="00EA7D00" w:rsidP="00EA7D00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>
              <w:rPr>
                <w:color w:val="000000" w:themeColor="text1"/>
                <w:vertAlign w:val="subscript"/>
              </w:rPr>
              <w:t>coamă</w:t>
            </w:r>
            <w:r w:rsidRPr="00FD62BE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11.00m</w:t>
            </w:r>
          </w:p>
        </w:tc>
      </w:tr>
      <w:tr w:rsidR="00FD62BE" w:rsidRPr="00FD62BE" w14:paraId="18B56BF5" w14:textId="77777777" w:rsidTr="00693F2C">
        <w:tc>
          <w:tcPr>
            <w:tcW w:w="3085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9308EC8" w14:textId="17ED4B6C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6E27528" w14:textId="507821EF" w:rsidR="001027E7" w:rsidRPr="00FD62BE" w:rsidRDefault="00072C79" w:rsidP="00EA7D0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D62BE" w:rsidRPr="00FD62BE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4A7058" w14:textId="057326F6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4EC4E4BE" w14:textId="70C6A2F2" w:rsidR="00757AA4" w:rsidRPr="00FD62BE" w:rsidRDefault="00CB4CD6" w:rsidP="00EA7D0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EA7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0.10</w:t>
            </w:r>
          </w:p>
        </w:tc>
      </w:tr>
      <w:tr w:rsidR="00FD62BE" w:rsidRPr="00FD62BE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2DAA4BBD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E989068" w14:textId="7A7339A8" w:rsidR="00E8161F" w:rsidRPr="00FD62BE" w:rsidRDefault="001027E7" w:rsidP="00EA7D00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EA7D0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B1BAC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şi 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="006B348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EA7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min. 18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.00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</w:t>
            </w:r>
            <w:r w:rsidR="000E4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de la limita de proprietate </w:t>
            </w:r>
            <w:r w:rsidR="00EA7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spre drumul Petalelor cu respectarea zonei de protecție a liniei electrice aeriene de 20 kV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FD62BE" w:rsidRPr="00FD62BE" w14:paraId="27A2A6C7" w14:textId="77777777" w:rsidTr="00FF42ED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7928571E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82BD3C" w14:textId="3096C82B" w:rsidR="00844472" w:rsidRPr="00FD62BE" w:rsidRDefault="000C0CA6" w:rsidP="00817B2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 Reglementări Urbanistice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Regulamentului local de urbanism al PUZ-ului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minim 2.00 m față de limitele de proprietate laterale </w:t>
            </w:r>
            <w:r w:rsidR="002C576B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minim 9.00 m față de limita posterioară și</w:t>
            </w:r>
            <w:r w:rsidR="002C576B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 respectarea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Codului civil</w:t>
            </w:r>
            <w:r w:rsidR="00817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FD62BE" w:rsidRPr="00FD62BE" w14:paraId="5E271A07" w14:textId="77777777" w:rsidTr="00693F2C">
        <w:tc>
          <w:tcPr>
            <w:tcW w:w="3085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1BA3025A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AA1D9A2" w14:textId="47F2AAD8" w:rsidR="00757AA4" w:rsidRPr="00442799" w:rsidRDefault="00664563" w:rsidP="00442799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Accesul auto</w:t>
            </w:r>
            <w:r w:rsidR="00CB0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și pietonal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 parcelă se va face direct din </w:t>
            </w:r>
            <w:r w:rsidR="0044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drumul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Petalelor</w:t>
            </w:r>
            <w:r w:rsidR="00FF4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4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3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 va realiza retragerea împrejmuirii conform planului de situație pe distanța de 9.15m</w:t>
            </w:r>
            <w:r w:rsidR="00C14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bookmarkStart w:id="1" w:name="_GoBack"/>
            <w:bookmarkEnd w:id="1"/>
            <w:r w:rsidR="002F3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 o adâncime maximă de 1,60m pentru a facilita accesul pe amplasament. Acest teren în suprafață de 12 mp se menține în proprietate privată ca zonă de circulație rutieră.</w:t>
            </w:r>
          </w:p>
        </w:tc>
      </w:tr>
      <w:tr w:rsidR="00FD62BE" w:rsidRPr="00FD62BE" w14:paraId="6055212A" w14:textId="77777777" w:rsidTr="00693F2C">
        <w:tc>
          <w:tcPr>
            <w:tcW w:w="3085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3544" w:type="dxa"/>
            <w:shd w:val="clear" w:color="auto" w:fill="auto"/>
          </w:tcPr>
          <w:p w14:paraId="3544BED2" w14:textId="579DF243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29594267" w14:textId="5CCAABA0" w:rsidR="00A04862" w:rsidRPr="00FD62BE" w:rsidRDefault="00A52F2D" w:rsidP="0044279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44279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4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4279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Echiparea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Tehnico Edilitar</w:t>
            </w:r>
            <w:r w:rsidR="0044279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ă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</w:t>
            </w:r>
            <w:r w:rsidR="004427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de energie electrică, gaze naturale și apă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427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Nu există rețea de canalizare în zonă, astfel se propune realizarea canalizării în sistem local cu bazin vidanjabil.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08CDD0F3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42799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22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FF42E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lastRenderedPageBreak/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p w14:paraId="36998DF9" w14:textId="77777777" w:rsidR="00D0475D" w:rsidRDefault="00D0475D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3BE84AB8" w14:textId="77777777" w:rsidR="00D0475D" w:rsidRPr="00FD62BE" w:rsidRDefault="00D0475D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8756B3" w14:textId="77777777" w:rsidR="00D0475D" w:rsidRPr="00FD62BE" w:rsidRDefault="00D0475D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77777777" w:rsidR="00124A52" w:rsidRPr="002F17FB" w:rsidRDefault="00957CE8" w:rsidP="00693F2C">
      <w:pPr>
        <w:rPr>
          <w:rFonts w:ascii="Times New Roman" w:hAnsi="Times New Roman"/>
          <w:vanish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354DD" w14:textId="77777777" w:rsidR="00377E90" w:rsidRDefault="00377E90" w:rsidP="00844472">
      <w:pPr>
        <w:spacing w:after="0" w:line="240" w:lineRule="auto"/>
      </w:pPr>
      <w:r>
        <w:separator/>
      </w:r>
    </w:p>
  </w:endnote>
  <w:endnote w:type="continuationSeparator" w:id="0">
    <w:p w14:paraId="41B8EED7" w14:textId="77777777" w:rsidR="00377E90" w:rsidRDefault="00377E9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2F3406" w:rsidRDefault="002F3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281">
          <w:t>1</w:t>
        </w:r>
        <w:r>
          <w:fldChar w:fldCharType="end"/>
        </w:r>
      </w:p>
    </w:sdtContent>
  </w:sdt>
  <w:p w14:paraId="2DF5688E" w14:textId="77777777" w:rsidR="002F3406" w:rsidRDefault="002F3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BFA50" w14:textId="77777777" w:rsidR="00377E90" w:rsidRDefault="00377E90" w:rsidP="00844472">
      <w:pPr>
        <w:spacing w:after="0" w:line="240" w:lineRule="auto"/>
      </w:pPr>
      <w:r>
        <w:separator/>
      </w:r>
    </w:p>
  </w:footnote>
  <w:footnote w:type="continuationSeparator" w:id="0">
    <w:p w14:paraId="0EE11303" w14:textId="77777777" w:rsidR="00377E90" w:rsidRDefault="00377E90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3982"/>
    <w:rsid w:val="00096BA5"/>
    <w:rsid w:val="000A5789"/>
    <w:rsid w:val="000B5B56"/>
    <w:rsid w:val="000C0CA6"/>
    <w:rsid w:val="000D4BA8"/>
    <w:rsid w:val="000E146C"/>
    <w:rsid w:val="000E477E"/>
    <w:rsid w:val="000E50BD"/>
    <w:rsid w:val="001027E7"/>
    <w:rsid w:val="001042D7"/>
    <w:rsid w:val="0010709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868EB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C2564"/>
    <w:rsid w:val="002C576B"/>
    <w:rsid w:val="002D454C"/>
    <w:rsid w:val="002F0F2B"/>
    <w:rsid w:val="002F17FB"/>
    <w:rsid w:val="002F3406"/>
    <w:rsid w:val="00330B6F"/>
    <w:rsid w:val="0033596C"/>
    <w:rsid w:val="00342E30"/>
    <w:rsid w:val="00377E90"/>
    <w:rsid w:val="003872EC"/>
    <w:rsid w:val="003B7F5E"/>
    <w:rsid w:val="003D2374"/>
    <w:rsid w:val="003D2BFE"/>
    <w:rsid w:val="00426216"/>
    <w:rsid w:val="00434C6E"/>
    <w:rsid w:val="0044213A"/>
    <w:rsid w:val="004426E8"/>
    <w:rsid w:val="00442799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A1AA7"/>
    <w:rsid w:val="006B3485"/>
    <w:rsid w:val="006C1577"/>
    <w:rsid w:val="006E318B"/>
    <w:rsid w:val="006F7981"/>
    <w:rsid w:val="00707ECD"/>
    <w:rsid w:val="00722F5C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17B2A"/>
    <w:rsid w:val="00831214"/>
    <w:rsid w:val="00831D2D"/>
    <w:rsid w:val="00844472"/>
    <w:rsid w:val="00854428"/>
    <w:rsid w:val="00857931"/>
    <w:rsid w:val="00862804"/>
    <w:rsid w:val="00867B71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73062"/>
    <w:rsid w:val="00A85ACC"/>
    <w:rsid w:val="00AA2AEC"/>
    <w:rsid w:val="00AC044A"/>
    <w:rsid w:val="00AC79EA"/>
    <w:rsid w:val="00AF4F28"/>
    <w:rsid w:val="00B527A1"/>
    <w:rsid w:val="00B5502E"/>
    <w:rsid w:val="00B816AF"/>
    <w:rsid w:val="00B81B99"/>
    <w:rsid w:val="00B91B33"/>
    <w:rsid w:val="00BA67A4"/>
    <w:rsid w:val="00BD221A"/>
    <w:rsid w:val="00BD6EA3"/>
    <w:rsid w:val="00C07E1E"/>
    <w:rsid w:val="00C14281"/>
    <w:rsid w:val="00C1436C"/>
    <w:rsid w:val="00C337CF"/>
    <w:rsid w:val="00C57A8D"/>
    <w:rsid w:val="00C82CE0"/>
    <w:rsid w:val="00CB0631"/>
    <w:rsid w:val="00CB4CD6"/>
    <w:rsid w:val="00CE453F"/>
    <w:rsid w:val="00D0475D"/>
    <w:rsid w:val="00D14CCE"/>
    <w:rsid w:val="00D162A4"/>
    <w:rsid w:val="00D16D6F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A7D00"/>
    <w:rsid w:val="00EB0829"/>
    <w:rsid w:val="00ED4FCB"/>
    <w:rsid w:val="00ED5507"/>
    <w:rsid w:val="00EE389A"/>
    <w:rsid w:val="00EE7758"/>
    <w:rsid w:val="00EF6F76"/>
    <w:rsid w:val="00F33F32"/>
    <w:rsid w:val="00F6582A"/>
    <w:rsid w:val="00F75C41"/>
    <w:rsid w:val="00FA32B2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36</cp:revision>
  <cp:lastPrinted>2022-07-20T09:33:00Z</cp:lastPrinted>
  <dcterms:created xsi:type="dcterms:W3CDTF">2022-09-26T07:07:00Z</dcterms:created>
  <dcterms:modified xsi:type="dcterms:W3CDTF">2023-05-23T11:00:00Z</dcterms:modified>
</cp:coreProperties>
</file>