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4F71DA85" w14:textId="7676731D" w:rsidR="004C11E5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7DC37684" w14:textId="77777777" w:rsidR="00FE74B0" w:rsidRPr="00D514C2" w:rsidRDefault="00FE74B0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92B1BEB" w14:textId="77777777" w:rsidR="00FF42ED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60AC4A86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End w:id="0"/>
      <w:r w:rsidR="005B6E39">
        <w:rPr>
          <w:color w:val="000000" w:themeColor="text1"/>
          <w:sz w:val="28"/>
          <w:szCs w:val="28"/>
        </w:rPr>
        <w:t>Lăpuște Dragoș</w:t>
      </w:r>
      <w:r w:rsidR="00F43A45">
        <w:rPr>
          <w:color w:val="000000" w:themeColor="text1"/>
          <w:sz w:val="28"/>
          <w:szCs w:val="28"/>
        </w:rPr>
        <w:t xml:space="preserve"> Gelu</w:t>
      </w:r>
      <w:r w:rsidR="009F06C4">
        <w:rPr>
          <w:color w:val="000000" w:themeColor="text1"/>
          <w:sz w:val="28"/>
          <w:szCs w:val="28"/>
        </w:rPr>
        <w:t xml:space="preserve">, în calitate de reprezentant al societății </w:t>
      </w:r>
      <w:r w:rsidR="005B6E39">
        <w:rPr>
          <w:color w:val="000000" w:themeColor="text1"/>
          <w:sz w:val="28"/>
          <w:szCs w:val="28"/>
        </w:rPr>
        <w:t>DRA GEOFOR</w:t>
      </w:r>
      <w:r w:rsidR="009F06C4">
        <w:rPr>
          <w:color w:val="000000" w:themeColor="text1"/>
          <w:sz w:val="28"/>
          <w:szCs w:val="28"/>
        </w:rPr>
        <w:t xml:space="preserve"> S.R.L.</w:t>
      </w:r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1" w:name="_Hlk159241272"/>
      <w:r w:rsidR="005B6E39">
        <w:rPr>
          <w:color w:val="000000" w:themeColor="text1"/>
          <w:sz w:val="28"/>
          <w:szCs w:val="28"/>
        </w:rPr>
        <w:t>16895</w:t>
      </w:r>
      <w:r w:rsidR="007C3A03" w:rsidRPr="00D514C2">
        <w:rPr>
          <w:color w:val="000000" w:themeColor="text1"/>
          <w:sz w:val="28"/>
          <w:szCs w:val="28"/>
        </w:rPr>
        <w:t>/</w:t>
      </w:r>
      <w:r w:rsidR="005B6E39">
        <w:rPr>
          <w:color w:val="000000" w:themeColor="text1"/>
          <w:sz w:val="28"/>
          <w:szCs w:val="28"/>
        </w:rPr>
        <w:t>14</w:t>
      </w:r>
      <w:r w:rsidR="007C3A03" w:rsidRPr="00D514C2">
        <w:rPr>
          <w:color w:val="000000" w:themeColor="text1"/>
          <w:sz w:val="28"/>
          <w:szCs w:val="28"/>
        </w:rPr>
        <w:t>.</w:t>
      </w:r>
      <w:r w:rsidR="009F06C4">
        <w:rPr>
          <w:color w:val="000000" w:themeColor="text1"/>
          <w:sz w:val="28"/>
          <w:szCs w:val="28"/>
        </w:rPr>
        <w:t>0</w:t>
      </w:r>
      <w:r w:rsidR="005B6E39">
        <w:rPr>
          <w:color w:val="000000" w:themeColor="text1"/>
          <w:sz w:val="28"/>
          <w:szCs w:val="28"/>
        </w:rPr>
        <w:t>3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1"/>
      <w:r w:rsidR="005B6E39">
        <w:rPr>
          <w:color w:val="000000" w:themeColor="text1"/>
          <w:sz w:val="28"/>
          <w:szCs w:val="28"/>
        </w:rPr>
        <w:t>5</w:t>
      </w:r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19C3F868" w14:textId="77777777" w:rsidR="002C24EA" w:rsidRPr="00D514C2" w:rsidRDefault="002C24EA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1E7A2B93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226F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13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5B6E3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28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5B6E3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5B6E3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</w:p>
    <w:p w14:paraId="0311D80B" w14:textId="761AE8D7" w:rsidR="00FD62BE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0EFDA42D" w14:textId="77777777" w:rsidR="00B965D6" w:rsidRPr="00D514C2" w:rsidRDefault="00B965D6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DBF38E4" w14:textId="20A397BF" w:rsidR="004B1BAC" w:rsidRPr="00D514C2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bookmarkStart w:id="2" w:name="_Hlk159320322"/>
      <w:r w:rsidR="005B6E3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Imobil de locuit-locuințe colective cu spații libere la parter</w:t>
      </w:r>
      <w:r w:rsidR="00551D8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9F06C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End w:id="2"/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 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5B6E3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663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3" w:name="_Hlk159233772"/>
      <w:bookmarkStart w:id="4" w:name="_Hlk159234103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bookmarkStart w:id="5" w:name="_Hlk159320369"/>
      <w:r w:rsidR="005B6E3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162380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Satu Mare</w:t>
      </w:r>
      <w:r w:rsidR="007548B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6" w:name="_Hlk159233638"/>
      <w:r w:rsidR="007548B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r. cad. </w:t>
      </w:r>
      <w:bookmarkEnd w:id="5"/>
      <w:bookmarkEnd w:id="6"/>
      <w:r w:rsidR="005B6E3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162380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situat în intravilan, aflat în proprieta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ea 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societății </w:t>
      </w:r>
      <w:bookmarkEnd w:id="3"/>
      <w:bookmarkEnd w:id="4"/>
      <w:r w:rsidR="005B6E39">
        <w:rPr>
          <w:color w:val="000000" w:themeColor="text1"/>
          <w:sz w:val="28"/>
          <w:szCs w:val="28"/>
        </w:rPr>
        <w:t>DRA GEOFOR S.R.L.</w:t>
      </w:r>
    </w:p>
    <w:p w14:paraId="4AEB8039" w14:textId="1E610362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7" w:name="_Hlk152926507"/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NIRVANA STUDIO</w:t>
      </w:r>
      <w:r w:rsidR="00FD24E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r w:rsidR="002C256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End w:id="7"/>
    </w:p>
    <w:p w14:paraId="66FE1513" w14:textId="013DADBD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8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bookmarkEnd w:id="8"/>
      <w:r w:rsidR="005612CA">
        <w:rPr>
          <w:rFonts w:ascii="Times New Roman" w:eastAsia="Times New Roman" w:hAnsi="Times New Roman"/>
          <w:color w:val="000000" w:themeColor="text1"/>
          <w:sz w:val="28"/>
          <w:szCs w:val="28"/>
        </w:rPr>
        <w:t>Mircea Corodan</w:t>
      </w:r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969"/>
      </w:tblGrid>
      <w:tr w:rsidR="00FD62BE" w:rsidRPr="00D514C2" w14:paraId="2C7477B2" w14:textId="77777777" w:rsidTr="00EC2CB8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260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3969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EC2CB8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260" w:type="dxa"/>
            <w:shd w:val="clear" w:color="auto" w:fill="auto"/>
          </w:tcPr>
          <w:p w14:paraId="011F9563" w14:textId="669DFC41" w:rsidR="00757AA4" w:rsidRPr="00D514C2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33B2A340" w14:textId="29C432F0" w:rsidR="00757AA4" w:rsidRPr="00D514C2" w:rsidRDefault="00FE74B0" w:rsidP="00CB0631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situat în intravilan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C.F. nr. </w:t>
            </w:r>
            <w:r w:rsidR="006A05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162380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103D46" w:rsidRPr="00D514C2" w14:paraId="43C8F0BF" w14:textId="77777777" w:rsidTr="00EC2CB8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3260" w:type="dxa"/>
            <w:shd w:val="clear" w:color="auto" w:fill="auto"/>
          </w:tcPr>
          <w:p w14:paraId="7A110086" w14:textId="55E32579" w:rsidR="005612CA" w:rsidRPr="005612CA" w:rsidRDefault="005612CA" w:rsidP="005B6E39">
            <w:pPr>
              <w:pStyle w:val="ListParagraph"/>
              <w:spacing w:after="0" w:line="240" w:lineRule="auto"/>
              <w:ind w:left="31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66DD0555" w14:textId="42E692B1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9" w:name="_Hlk195088717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de parcări și accese</w:t>
            </w:r>
          </w:p>
          <w:p w14:paraId="11450355" w14:textId="442C67A6" w:rsidR="00FE74B0" w:rsidRDefault="00FE74B0" w:rsidP="00FE74B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Zonă de locuit </w:t>
            </w:r>
            <w:r w:rsidR="006A05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locuințe colective</w:t>
            </w:r>
            <w:r w:rsidR="006A05D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spații comerciale la parter</w:t>
            </w:r>
          </w:p>
          <w:p w14:paraId="2930D84B" w14:textId="69B20060" w:rsidR="006A05D9" w:rsidRPr="006A05D9" w:rsidRDefault="00FE74B0" w:rsidP="006A05D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bookmarkStart w:id="10" w:name="_Hlk195088938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de spații verzi</w:t>
            </w:r>
            <w:r w:rsidR="00716B3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 loc de joacă, loisir</w:t>
            </w:r>
          </w:p>
          <w:bookmarkEnd w:id="10"/>
          <w:p w14:paraId="794E16AD" w14:textId="40AC3317" w:rsidR="002C24EA" w:rsidRPr="00FE74B0" w:rsidRDefault="00FE74B0" w:rsidP="006A05D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3" w:hanging="298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E74B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Echipări tehnico-edilitare</w:t>
            </w:r>
            <w:r w:rsidRPr="002C24E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bookmarkEnd w:id="9"/>
          </w:p>
        </w:tc>
      </w:tr>
      <w:tr w:rsidR="00103D46" w:rsidRPr="00D514C2" w14:paraId="4A20EFB5" w14:textId="77777777" w:rsidTr="00EC2CB8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3260" w:type="dxa"/>
            <w:shd w:val="clear" w:color="auto" w:fill="auto"/>
          </w:tcPr>
          <w:p w14:paraId="458BE94C" w14:textId="5D7EA35D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2381EAFF" w14:textId="60D04D1B" w:rsidR="00103D46" w:rsidRPr="00D514C2" w:rsidRDefault="00075021" w:rsidP="00EC2CB8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U.4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</w:t>
            </w:r>
            <w:r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396D4E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lastRenderedPageBreak/>
              <w:t>Reglementări Urbanistice</w:t>
            </w:r>
            <w:r w:rsidRPr="00775177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7751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Regulamentului local de urbanism, în limita zonei edificabile.</w:t>
            </w:r>
          </w:p>
        </w:tc>
      </w:tr>
      <w:tr w:rsidR="00FD62BE" w:rsidRPr="00D514C2" w14:paraId="3FCDD04C" w14:textId="77777777" w:rsidTr="00EC2CB8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Regim înălţime</w:t>
            </w:r>
          </w:p>
        </w:tc>
        <w:tc>
          <w:tcPr>
            <w:tcW w:w="3260" w:type="dxa"/>
            <w:shd w:val="clear" w:color="auto" w:fill="auto"/>
          </w:tcPr>
          <w:p w14:paraId="40BB02A4" w14:textId="5E4E0604" w:rsidR="005612CA" w:rsidRPr="00D514C2" w:rsidRDefault="005612CA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882D582" w14:textId="78136068" w:rsidR="00EC2CB8" w:rsidRDefault="00EC2CB8" w:rsidP="00EC2CB8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bookmarkStart w:id="11" w:name="_Hlk195088974"/>
            <w:r>
              <w:rPr>
                <w:color w:val="000000" w:themeColor="text1"/>
                <w:sz w:val="28"/>
                <w:szCs w:val="28"/>
              </w:rPr>
              <w:t>P+</w:t>
            </w:r>
            <w:r w:rsidR="006A05D9">
              <w:rPr>
                <w:color w:val="000000" w:themeColor="text1"/>
                <w:sz w:val="28"/>
                <w:szCs w:val="28"/>
              </w:rPr>
              <w:t>2</w:t>
            </w:r>
          </w:p>
          <w:p w14:paraId="2DA19F19" w14:textId="77777777" w:rsidR="00FD24EE" w:rsidRDefault="00EC2CB8" w:rsidP="00EC2CB8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 w:rsidR="00BF0FE5">
              <w:rPr>
                <w:color w:val="000000" w:themeColor="text1"/>
                <w:sz w:val="28"/>
                <w:szCs w:val="28"/>
                <w:vertAlign w:val="subscript"/>
              </w:rPr>
              <w:t xml:space="preserve">casa </w:t>
            </w:r>
            <w:r w:rsidR="00BF0FE5" w:rsidRPr="00BF0FE5">
              <w:rPr>
                <w:color w:val="000000" w:themeColor="text1"/>
                <w:sz w:val="28"/>
                <w:szCs w:val="28"/>
                <w:vertAlign w:val="subscript"/>
              </w:rPr>
              <w:t>scării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BF0FE5">
              <w:rPr>
                <w:color w:val="000000" w:themeColor="text1"/>
                <w:sz w:val="28"/>
                <w:szCs w:val="28"/>
              </w:rPr>
              <w:t>13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  <w:r w:rsidR="00BF0FE5">
              <w:rPr>
                <w:color w:val="000000" w:themeColor="text1"/>
                <w:sz w:val="28"/>
                <w:szCs w:val="28"/>
              </w:rPr>
              <w:t>85</w:t>
            </w:r>
            <w:r w:rsidRPr="00D514C2">
              <w:rPr>
                <w:color w:val="000000" w:themeColor="text1"/>
                <w:sz w:val="28"/>
                <w:szCs w:val="28"/>
              </w:rPr>
              <w:t>m</w:t>
            </w:r>
          </w:p>
          <w:p w14:paraId="691AAF8E" w14:textId="1FFF5DF3" w:rsidR="00BF0FE5" w:rsidRPr="00D514C2" w:rsidRDefault="00BF0FE5" w:rsidP="00BF0FE5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>atic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color w:val="000000" w:themeColor="text1"/>
                <w:sz w:val="28"/>
                <w:szCs w:val="28"/>
              </w:rPr>
              <w:t>11,50m</w:t>
            </w:r>
            <w:bookmarkEnd w:id="11"/>
          </w:p>
        </w:tc>
      </w:tr>
      <w:tr w:rsidR="00FD62BE" w:rsidRPr="00D514C2" w14:paraId="18B56BF5" w14:textId="77777777" w:rsidTr="00EC2CB8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49308EC8" w14:textId="7249C27C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66E27528" w14:textId="5ED6BAD7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F0F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40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EC2CB8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C4A7058" w14:textId="12B6F2A1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4EC4E4BE" w14:textId="7B6DD418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="00BF0FE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45</w:t>
            </w:r>
          </w:p>
        </w:tc>
      </w:tr>
      <w:tr w:rsidR="00FD62BE" w:rsidRPr="00D514C2" w14:paraId="3DE8DF64" w14:textId="77777777" w:rsidTr="00EC2CB8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3260" w:type="dxa"/>
            <w:shd w:val="clear" w:color="auto" w:fill="auto"/>
          </w:tcPr>
          <w:p w14:paraId="79527F4D" w14:textId="6BBC6A8C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7E989068" w14:textId="1825A699" w:rsidR="00E8161F" w:rsidRPr="00D514C2" w:rsidRDefault="00EC2CB8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2" w:name="_Hlk152927190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5033F7" w:rsidRPr="005033F7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U3</w:t>
            </w:r>
            <w:r w:rsidR="005033F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716B3A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U4</w:t>
            </w:r>
            <w:r w:rsidRPr="00376E2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  <w:bookmarkEnd w:id="12"/>
          </w:p>
        </w:tc>
      </w:tr>
      <w:tr w:rsidR="00FD62BE" w:rsidRPr="00D514C2" w14:paraId="27A2A6C7" w14:textId="77777777" w:rsidTr="00EC2CB8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3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3260" w:type="dxa"/>
            <w:shd w:val="clear" w:color="auto" w:fill="auto"/>
          </w:tcPr>
          <w:p w14:paraId="7E4EA539" w14:textId="36507F9C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7982BD3C" w14:textId="74E6F924" w:rsidR="00844472" w:rsidRPr="00D514C2" w:rsidRDefault="005033F7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Pr="005033F7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U3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U4</w:t>
            </w:r>
            <w:r w:rsidRPr="00376E2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</w:p>
        </w:tc>
      </w:tr>
      <w:bookmarkEnd w:id="13"/>
      <w:tr w:rsidR="00FD62BE" w:rsidRPr="00D514C2" w14:paraId="5E271A07" w14:textId="77777777" w:rsidTr="00EC2CB8">
        <w:trPr>
          <w:trHeight w:val="1184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260" w:type="dxa"/>
            <w:shd w:val="clear" w:color="auto" w:fill="auto"/>
          </w:tcPr>
          <w:p w14:paraId="042716C9" w14:textId="493C5C29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6AA1D9A2" w14:textId="48F86165" w:rsidR="00757AA4" w:rsidRPr="00D514C2" w:rsidRDefault="00FA356A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4" w:name="_Hlk159234721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ccesul </w:t>
            </w:r>
            <w:bookmarkEnd w:id="14"/>
            <w:r w:rsidR="00F43A4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auto </w:t>
            </w:r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parcelă se va face </w:t>
            </w:r>
            <w:r w:rsidR="002778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din strada Simion Barnuțiu</w:t>
            </w:r>
            <w:r w:rsidR="00F43A4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, </w:t>
            </w:r>
            <w:r w:rsidR="002778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accesul pietonal </w:t>
            </w:r>
            <w:r w:rsidR="00F43A4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pentru rezidenți </w:t>
            </w:r>
            <w:r w:rsidR="002778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din strada Avram Iancu</w:t>
            </w:r>
            <w:r w:rsidR="00F43A4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iar accesul</w:t>
            </w:r>
            <w:r w:rsidR="00AA5B5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pietonal pentru spațiile comerciale se face din strada Avram Iancu și strada Simion Barnuțiu.</w:t>
            </w:r>
          </w:p>
        </w:tc>
      </w:tr>
      <w:tr w:rsidR="00FD62BE" w:rsidRPr="00D514C2" w14:paraId="6055212A" w14:textId="77777777" w:rsidTr="00EC2CB8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260" w:type="dxa"/>
            <w:shd w:val="clear" w:color="auto" w:fill="auto"/>
          </w:tcPr>
          <w:p w14:paraId="3544BED2" w14:textId="2BA87E97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969" w:type="dxa"/>
            <w:shd w:val="clear" w:color="auto" w:fill="auto"/>
          </w:tcPr>
          <w:p w14:paraId="29594267" w14:textId="020F09D0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15" w:name="_Hlk152927576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16" w:name="_Hlk159234798"/>
            <w:r w:rsidR="0027786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U.5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344630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Reglementări Rețele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Tehnico Edilitar</w:t>
            </w:r>
            <w:r w:rsidR="00664563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bookmarkStart w:id="17" w:name="_Hlk195089644"/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existente în zonă</w:t>
            </w:r>
            <w:r w:rsid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pe </w:t>
            </w:r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strada </w:t>
            </w:r>
            <w:r w:rsidR="002778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Simion Barnuțiu</w:t>
            </w:r>
            <w:bookmarkEnd w:id="15"/>
            <w:bookmarkEnd w:id="16"/>
            <w:r w:rsidR="0027786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iar branșamentul electric LES propus din PT 513 Corvinilor.</w:t>
            </w:r>
            <w:bookmarkEnd w:id="17"/>
          </w:p>
        </w:tc>
      </w:tr>
    </w:tbl>
    <w:p w14:paraId="4C0155A9" w14:textId="77777777" w:rsidR="00FD62BE" w:rsidRPr="00D514C2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2E328E53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lastRenderedPageBreak/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226F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28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4226F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03.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4226F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365387CA" w14:textId="77777777" w:rsidR="002C24EA" w:rsidRPr="00D514C2" w:rsidRDefault="002C24EA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2DB79119" w14:textId="77777777" w:rsidR="002C24EA" w:rsidRPr="00D514C2" w:rsidRDefault="002C24EA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00DE4172" w14:textId="77777777" w:rsidR="002C24EA" w:rsidRPr="00D514C2" w:rsidRDefault="002C24EA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2FC50369" w14:textId="77777777" w:rsidR="0088342F" w:rsidRPr="00D514C2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E73C1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46416A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39C9C6B5" w:rsidR="00124A52" w:rsidRPr="00D514C2" w:rsidRDefault="005B6E39" w:rsidP="00693F2C">
      <w:pPr>
        <w:rPr>
          <w:rFonts w:ascii="Times New Roman" w:hAnsi="Times New Roman"/>
          <w:vanish/>
        </w:rPr>
      </w:pPr>
      <w:r>
        <w:rPr>
          <w:rFonts w:ascii="Times New Roman" w:hAnsi="Times New Roman"/>
          <w:color w:val="000000" w:themeColor="text1"/>
        </w:rPr>
        <w:t>C.R</w:t>
      </w:r>
      <w:r w:rsidR="00124A52" w:rsidRPr="00D514C2">
        <w:rPr>
          <w:rFonts w:ascii="Times New Roman" w:hAnsi="Times New Roman"/>
          <w:color w:val="000000" w:themeColor="text1"/>
        </w:rPr>
        <w:t>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523A89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94B61" w14:textId="77777777" w:rsidR="002A7B1A" w:rsidRDefault="002A7B1A" w:rsidP="00844472">
      <w:pPr>
        <w:spacing w:after="0" w:line="240" w:lineRule="auto"/>
      </w:pPr>
      <w:r>
        <w:separator/>
      </w:r>
    </w:p>
  </w:endnote>
  <w:endnote w:type="continuationSeparator" w:id="0">
    <w:p w14:paraId="569CE606" w14:textId="77777777" w:rsidR="002A7B1A" w:rsidRDefault="002A7B1A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25D2A" w14:textId="77777777" w:rsidR="002A7B1A" w:rsidRDefault="002A7B1A" w:rsidP="00844472">
      <w:pPr>
        <w:spacing w:after="0" w:line="240" w:lineRule="auto"/>
      </w:pPr>
      <w:r>
        <w:separator/>
      </w:r>
    </w:p>
  </w:footnote>
  <w:footnote w:type="continuationSeparator" w:id="0">
    <w:p w14:paraId="05849D1D" w14:textId="77777777" w:rsidR="002A7B1A" w:rsidRDefault="002A7B1A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32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644727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36B8"/>
    <w:rsid w:val="0005505B"/>
    <w:rsid w:val="0006202F"/>
    <w:rsid w:val="00072C79"/>
    <w:rsid w:val="00075021"/>
    <w:rsid w:val="00083982"/>
    <w:rsid w:val="00096BA5"/>
    <w:rsid w:val="000A5789"/>
    <w:rsid w:val="000B5B56"/>
    <w:rsid w:val="000D4BA8"/>
    <w:rsid w:val="000E146C"/>
    <w:rsid w:val="000E477E"/>
    <w:rsid w:val="000E50BD"/>
    <w:rsid w:val="00101DE9"/>
    <w:rsid w:val="001027E7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C377B"/>
    <w:rsid w:val="001C4E0E"/>
    <w:rsid w:val="001D2A75"/>
    <w:rsid w:val="001E4AD4"/>
    <w:rsid w:val="001E4CB0"/>
    <w:rsid w:val="001E4FF3"/>
    <w:rsid w:val="00203748"/>
    <w:rsid w:val="00216EDF"/>
    <w:rsid w:val="00225317"/>
    <w:rsid w:val="00225489"/>
    <w:rsid w:val="0023424F"/>
    <w:rsid w:val="0024263F"/>
    <w:rsid w:val="002633C7"/>
    <w:rsid w:val="0026677B"/>
    <w:rsid w:val="00272F71"/>
    <w:rsid w:val="00275004"/>
    <w:rsid w:val="00277865"/>
    <w:rsid w:val="00294E04"/>
    <w:rsid w:val="002A7B1A"/>
    <w:rsid w:val="002B0DD8"/>
    <w:rsid w:val="002C24EA"/>
    <w:rsid w:val="002C2564"/>
    <w:rsid w:val="002C576B"/>
    <w:rsid w:val="002D454C"/>
    <w:rsid w:val="002E7D80"/>
    <w:rsid w:val="002F0F2B"/>
    <w:rsid w:val="002F17FB"/>
    <w:rsid w:val="00330B6F"/>
    <w:rsid w:val="00332EA4"/>
    <w:rsid w:val="0033596C"/>
    <w:rsid w:val="00337B9C"/>
    <w:rsid w:val="00342E30"/>
    <w:rsid w:val="00344630"/>
    <w:rsid w:val="00376E2F"/>
    <w:rsid w:val="003872EC"/>
    <w:rsid w:val="003B7F5E"/>
    <w:rsid w:val="003D2374"/>
    <w:rsid w:val="003D2BFE"/>
    <w:rsid w:val="004226F3"/>
    <w:rsid w:val="00426216"/>
    <w:rsid w:val="00434C6E"/>
    <w:rsid w:val="0044213A"/>
    <w:rsid w:val="004426E8"/>
    <w:rsid w:val="00472F29"/>
    <w:rsid w:val="00486E0D"/>
    <w:rsid w:val="004B1BAC"/>
    <w:rsid w:val="004B28CE"/>
    <w:rsid w:val="004B394E"/>
    <w:rsid w:val="004C11E5"/>
    <w:rsid w:val="004C70ED"/>
    <w:rsid w:val="004E6407"/>
    <w:rsid w:val="004E7AD2"/>
    <w:rsid w:val="004F694A"/>
    <w:rsid w:val="005033F7"/>
    <w:rsid w:val="00520DE8"/>
    <w:rsid w:val="00523A89"/>
    <w:rsid w:val="00527490"/>
    <w:rsid w:val="00530569"/>
    <w:rsid w:val="00535A5B"/>
    <w:rsid w:val="00551D8D"/>
    <w:rsid w:val="005612CA"/>
    <w:rsid w:val="00582E21"/>
    <w:rsid w:val="005A1491"/>
    <w:rsid w:val="005A64E0"/>
    <w:rsid w:val="005B6E39"/>
    <w:rsid w:val="005C1A86"/>
    <w:rsid w:val="005D46EB"/>
    <w:rsid w:val="00606C31"/>
    <w:rsid w:val="006207A1"/>
    <w:rsid w:val="00632CCA"/>
    <w:rsid w:val="006417DA"/>
    <w:rsid w:val="00652D00"/>
    <w:rsid w:val="00653B89"/>
    <w:rsid w:val="00654659"/>
    <w:rsid w:val="006622FA"/>
    <w:rsid w:val="00663DD4"/>
    <w:rsid w:val="00664563"/>
    <w:rsid w:val="006854BC"/>
    <w:rsid w:val="00693F2C"/>
    <w:rsid w:val="00694C45"/>
    <w:rsid w:val="006A05D9"/>
    <w:rsid w:val="006A1AA7"/>
    <w:rsid w:val="006A4F4C"/>
    <w:rsid w:val="006B3485"/>
    <w:rsid w:val="006B3994"/>
    <w:rsid w:val="006C1577"/>
    <w:rsid w:val="006C4F83"/>
    <w:rsid w:val="006E318B"/>
    <w:rsid w:val="006F7981"/>
    <w:rsid w:val="00700AA3"/>
    <w:rsid w:val="00706F2E"/>
    <w:rsid w:val="00707ECD"/>
    <w:rsid w:val="00716B3A"/>
    <w:rsid w:val="00722F5C"/>
    <w:rsid w:val="007272BA"/>
    <w:rsid w:val="007451F0"/>
    <w:rsid w:val="007548BD"/>
    <w:rsid w:val="00757AA4"/>
    <w:rsid w:val="00775B92"/>
    <w:rsid w:val="007918BD"/>
    <w:rsid w:val="007A2DEF"/>
    <w:rsid w:val="007B77D5"/>
    <w:rsid w:val="007C2326"/>
    <w:rsid w:val="007C3A03"/>
    <w:rsid w:val="007C5ABA"/>
    <w:rsid w:val="007F5504"/>
    <w:rsid w:val="00802F43"/>
    <w:rsid w:val="0080354E"/>
    <w:rsid w:val="008163B0"/>
    <w:rsid w:val="00831214"/>
    <w:rsid w:val="00831D2D"/>
    <w:rsid w:val="00837A3A"/>
    <w:rsid w:val="00844472"/>
    <w:rsid w:val="00844E9F"/>
    <w:rsid w:val="00854428"/>
    <w:rsid w:val="00857931"/>
    <w:rsid w:val="00862804"/>
    <w:rsid w:val="00867B71"/>
    <w:rsid w:val="008771DA"/>
    <w:rsid w:val="0088342F"/>
    <w:rsid w:val="00897410"/>
    <w:rsid w:val="008E44CC"/>
    <w:rsid w:val="008E5FA5"/>
    <w:rsid w:val="008F3148"/>
    <w:rsid w:val="00903255"/>
    <w:rsid w:val="00905655"/>
    <w:rsid w:val="00914C86"/>
    <w:rsid w:val="00932B22"/>
    <w:rsid w:val="00937C15"/>
    <w:rsid w:val="00942357"/>
    <w:rsid w:val="00957CE8"/>
    <w:rsid w:val="009648DE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06C4"/>
    <w:rsid w:val="009F3EF9"/>
    <w:rsid w:val="00A04862"/>
    <w:rsid w:val="00A1355F"/>
    <w:rsid w:val="00A50151"/>
    <w:rsid w:val="00A52F2D"/>
    <w:rsid w:val="00A611E2"/>
    <w:rsid w:val="00A834DB"/>
    <w:rsid w:val="00A85ACC"/>
    <w:rsid w:val="00AA2AEC"/>
    <w:rsid w:val="00AA5B5D"/>
    <w:rsid w:val="00AC044A"/>
    <w:rsid w:val="00AC79EA"/>
    <w:rsid w:val="00AF4F28"/>
    <w:rsid w:val="00B34BE2"/>
    <w:rsid w:val="00B42168"/>
    <w:rsid w:val="00B527A1"/>
    <w:rsid w:val="00B5378B"/>
    <w:rsid w:val="00B5502E"/>
    <w:rsid w:val="00B604DF"/>
    <w:rsid w:val="00B73070"/>
    <w:rsid w:val="00B81B99"/>
    <w:rsid w:val="00B91B33"/>
    <w:rsid w:val="00B965D6"/>
    <w:rsid w:val="00BA67A4"/>
    <w:rsid w:val="00BD221A"/>
    <w:rsid w:val="00BD6EA3"/>
    <w:rsid w:val="00BF0FE5"/>
    <w:rsid w:val="00C07E1E"/>
    <w:rsid w:val="00C1436C"/>
    <w:rsid w:val="00C16D30"/>
    <w:rsid w:val="00C337CF"/>
    <w:rsid w:val="00C57A8D"/>
    <w:rsid w:val="00C82CE0"/>
    <w:rsid w:val="00CB0631"/>
    <w:rsid w:val="00CB4CD6"/>
    <w:rsid w:val="00CE453F"/>
    <w:rsid w:val="00D14CCE"/>
    <w:rsid w:val="00D16D6F"/>
    <w:rsid w:val="00D1713C"/>
    <w:rsid w:val="00D34506"/>
    <w:rsid w:val="00D46613"/>
    <w:rsid w:val="00D47A51"/>
    <w:rsid w:val="00D514C2"/>
    <w:rsid w:val="00D57A9D"/>
    <w:rsid w:val="00D65719"/>
    <w:rsid w:val="00D6609A"/>
    <w:rsid w:val="00D72A60"/>
    <w:rsid w:val="00D92885"/>
    <w:rsid w:val="00DA15CB"/>
    <w:rsid w:val="00DA34B8"/>
    <w:rsid w:val="00DC6275"/>
    <w:rsid w:val="00DC7783"/>
    <w:rsid w:val="00DC79A9"/>
    <w:rsid w:val="00DD1996"/>
    <w:rsid w:val="00DD5711"/>
    <w:rsid w:val="00DF1648"/>
    <w:rsid w:val="00DF74BA"/>
    <w:rsid w:val="00E0249E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C2CB8"/>
    <w:rsid w:val="00ED4FCB"/>
    <w:rsid w:val="00ED5507"/>
    <w:rsid w:val="00EE389A"/>
    <w:rsid w:val="00EE7758"/>
    <w:rsid w:val="00EF4115"/>
    <w:rsid w:val="00F079B5"/>
    <w:rsid w:val="00F33F32"/>
    <w:rsid w:val="00F43A45"/>
    <w:rsid w:val="00F6582A"/>
    <w:rsid w:val="00F75C41"/>
    <w:rsid w:val="00FA32B2"/>
    <w:rsid w:val="00FA356A"/>
    <w:rsid w:val="00FB0003"/>
    <w:rsid w:val="00FD24EE"/>
    <w:rsid w:val="00FD45F3"/>
    <w:rsid w:val="00FD62BE"/>
    <w:rsid w:val="00FD7A8E"/>
    <w:rsid w:val="00FE1BEB"/>
    <w:rsid w:val="00FE74B0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Cosac Raluca</cp:lastModifiedBy>
  <cp:revision>58</cp:revision>
  <cp:lastPrinted>2025-04-10T05:41:00Z</cp:lastPrinted>
  <dcterms:created xsi:type="dcterms:W3CDTF">2022-09-26T07:07:00Z</dcterms:created>
  <dcterms:modified xsi:type="dcterms:W3CDTF">2025-04-10T05:42:00Z</dcterms:modified>
</cp:coreProperties>
</file>