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66AE7176" w14:textId="43A081E2" w:rsidR="00831214" w:rsidRDefault="00757AA4" w:rsidP="00ED7D87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>Ca urmare a cererii adresate de</w:t>
      </w:r>
      <w:bookmarkStart w:id="0" w:name="_Hlk1372709"/>
      <w:r w:rsidR="00225489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End w:id="0"/>
      <w:r w:rsidR="005A5CE1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Kogălniceanu Buisness Center SRL </w:t>
      </w:r>
      <w:r w:rsidR="00D47A51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="00E40C1C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>înregistrată cu</w:t>
      </w:r>
      <w:r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nr. </w:t>
      </w:r>
      <w:r w:rsidR="005A5CE1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>26810/09.05.2022</w:t>
      </w:r>
      <w:r w:rsidR="00EE7758"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în conformitate cu prevederile Legii </w:t>
      </w:r>
      <w:hyperlink r:id="rId7" w:tgtFrame="_blank" w:history="1">
        <w:r w:rsidRPr="00ED7D87">
          <w:rPr>
            <w:rFonts w:ascii="Times New Roman" w:eastAsia="Times New Roman" w:hAnsi="Times New Roman" w:cs="Times New Roman"/>
            <w:b w:val="0"/>
            <w:bCs w:val="0"/>
            <w:color w:val="333333"/>
          </w:rPr>
          <w:t>nr. 350/2001</w:t>
        </w:r>
      </w:hyperlink>
      <w:r w:rsidRPr="00ED7D87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privind amenajarea teritoriului şi urbanismul, cu modificările şi completările ulterioare, se emite următorul: </w:t>
      </w:r>
    </w:p>
    <w:p w14:paraId="7FA39C94" w14:textId="77777777" w:rsidR="00ED7D87" w:rsidRPr="00ED7D87" w:rsidRDefault="00ED7D87" w:rsidP="00ED7D87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</w:p>
    <w:p w14:paraId="4D43AF2E" w14:textId="31AE3EA4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D66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</w:t>
      </w:r>
      <w:r w:rsidR="005A5CE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D66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</w:p>
    <w:p w14:paraId="7DBF38E4" w14:textId="42BAE608" w:rsidR="004B1BAC" w:rsidRPr="00903255" w:rsidRDefault="00632CCA" w:rsidP="00ED7D87">
      <w:pP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bookmarkStart w:id="1" w:name="_Hlk103675301"/>
      <w:r w:rsidR="005A5CE1" w:rsidRPr="00ED7D8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Zonă mixtă- locuinţe colective, individuale şi instituţii servicii</w:t>
      </w:r>
      <w:bookmarkEnd w:id="1"/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r w:rsidR="005A5CE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Păuleşti,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în suprafaţă totală de </w:t>
      </w:r>
      <w:r w:rsidR="005A5CE1" w:rsidRPr="00ED7D8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19500 mp</w:t>
      </w:r>
      <w:r w:rsidR="00072C79" w:rsidRPr="00ED7D8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5A5CE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solicitantului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16548D84" w14:textId="77777777" w:rsidR="005A5CE1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bookmarkStart w:id="2" w:name="_Hlk103675403"/>
      <w:r w:rsidR="005A5CE1" w:rsidRPr="00ED7D8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S.C.ARHabitat 2015 SRL</w:t>
      </w:r>
      <w:bookmarkEnd w:id="2"/>
      <w:r w:rsidR="005A5CE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</w:p>
    <w:p w14:paraId="3C7B63ED" w14:textId="6F89D8F1" w:rsidR="00F75C41" w:rsidRPr="003B60AD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Arh. Iuoraş Violeta</w:t>
      </w:r>
    </w:p>
    <w:p w14:paraId="488B876B" w14:textId="644D5F61" w:rsidR="00380C63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89"/>
        <w:gridCol w:w="3503"/>
      </w:tblGrid>
      <w:tr w:rsidR="00757AA4" w:rsidRPr="00903255" w14:paraId="2C7477B2" w14:textId="77777777" w:rsidTr="00FE1BEB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503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FE1BEB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689" w:type="dxa"/>
            <w:shd w:val="clear" w:color="auto" w:fill="auto"/>
          </w:tcPr>
          <w:p w14:paraId="011F9563" w14:textId="7A6FA251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FE1BEB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689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4E16AD" w14:textId="1D87C98E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5A5CE1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mixtă- locuinţe colective şi individuale, instituţii servicii</w:t>
            </w:r>
          </w:p>
        </w:tc>
      </w:tr>
      <w:tr w:rsidR="00757AA4" w:rsidRPr="00903255" w14:paraId="3FCDD04C" w14:textId="77777777" w:rsidTr="00FE1BEB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689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53B15D06" w14:textId="049D2E93" w:rsidR="005A5CE1" w:rsidRPr="00064514" w:rsidRDefault="005A5CE1" w:rsidP="005A5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locuinţe individuale : P-P+1 , </w:t>
            </w:r>
            <w:r w:rsidR="00064514">
              <w:rPr>
                <w:rFonts w:ascii="Times New Roman" w:eastAsia="Times New Roman" w:hAnsi="Times New Roman"/>
                <w:szCs w:val="20"/>
                <w:lang w:val="it-IT"/>
              </w:rPr>
              <w:t>Hmax streaşină 7,5 m, Hmax coamă 11 m</w:t>
            </w:r>
          </w:p>
          <w:p w14:paraId="093C9AE5" w14:textId="481E8B43" w:rsidR="00432C1D" w:rsidRDefault="005A5CE1" w:rsidP="005A5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locuinţe colective:</w:t>
            </w:r>
            <w:r w:rsidR="00432C1D">
              <w:rPr>
                <w:rFonts w:ascii="Times New Roman" w:eastAsia="Times New Roman" w:hAnsi="Times New Roman"/>
                <w:szCs w:val="20"/>
                <w:lang w:val="it-IT"/>
              </w:rPr>
              <w:t xml:space="preserve">     </w:t>
            </w: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 P+2+R- P+3+R,</w:t>
            </w:r>
            <w:r w:rsidR="00064514">
              <w:rPr>
                <w:rFonts w:ascii="Times New Roman" w:eastAsia="Times New Roman" w:hAnsi="Times New Roman"/>
                <w:szCs w:val="20"/>
                <w:lang w:val="it-IT"/>
              </w:rPr>
              <w:t xml:space="preserve"> Hmax streaşină 16 m, Hmax coamă 19m</w:t>
            </w: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  <w:p w14:paraId="691AAF8E" w14:textId="532E7202" w:rsidR="00225489" w:rsidRPr="00903255" w:rsidRDefault="005A5CE1" w:rsidP="00432C1D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instituţii servicii: </w:t>
            </w:r>
            <w:r w:rsidR="00432C1D">
              <w:rPr>
                <w:rFonts w:ascii="Times New Roman" w:eastAsia="Times New Roman" w:hAnsi="Times New Roman"/>
                <w:szCs w:val="20"/>
                <w:lang w:val="it-IT"/>
              </w:rPr>
              <w:t xml:space="preserve">      </w:t>
            </w: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P-P+1, </w:t>
            </w:r>
            <w:r w:rsidR="00064514">
              <w:rPr>
                <w:rFonts w:ascii="Times New Roman" w:eastAsia="Times New Roman" w:hAnsi="Times New Roman"/>
                <w:szCs w:val="20"/>
                <w:lang w:val="it-IT"/>
              </w:rPr>
              <w:t>Hmax streaşină 10m, Hmax coamă 14m</w:t>
            </w:r>
          </w:p>
        </w:tc>
      </w:tr>
      <w:tr w:rsidR="00757AA4" w:rsidRPr="00903255" w14:paraId="18B56BF5" w14:textId="77777777" w:rsidTr="00FE1BEB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689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DD2E3CF" w14:textId="704EBACB" w:rsid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locuinţe individuale :  POTmax 35%, </w:t>
            </w:r>
          </w:p>
          <w:p w14:paraId="41639084" w14:textId="34ECF7FD" w:rsid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locuinţe colective:       POTmax 20%, </w:t>
            </w:r>
          </w:p>
          <w:p w14:paraId="66E27528" w14:textId="5138B8FF" w:rsidR="001027E7" w:rsidRP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 xml:space="preserve">instituţii servicii:         POTmax 50%, </w:t>
            </w:r>
          </w:p>
        </w:tc>
      </w:tr>
      <w:tr w:rsidR="00757AA4" w:rsidRPr="00903255" w14:paraId="728838D8" w14:textId="77777777" w:rsidTr="00FE1BEB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689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A87EDCC" w14:textId="6E4B66AB" w:rsid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locuinţe individuale :  CUTmax 0,9</w:t>
            </w:r>
          </w:p>
          <w:p w14:paraId="5BBA8818" w14:textId="7E27C154" w:rsid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locuinţe colective:       CUTmax 1,2</w:t>
            </w:r>
          </w:p>
          <w:p w14:paraId="4EC4E4BE" w14:textId="081DE110" w:rsidR="00757AA4" w:rsidRPr="00432C1D" w:rsidRDefault="00432C1D" w:rsidP="00432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instituţii servicii:         CUTmax 1,6</w:t>
            </w:r>
          </w:p>
        </w:tc>
      </w:tr>
      <w:tr w:rsidR="00757AA4" w:rsidRPr="00903255" w14:paraId="3DE8DF64" w14:textId="77777777" w:rsidTr="00FE1BEB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689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DCF00FB" w14:textId="77777777" w:rsidR="00ED7D87" w:rsidRDefault="00ED7D87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în interiorul perimetrului construibil</w:t>
            </w:r>
          </w:p>
          <w:p w14:paraId="7E989068" w14:textId="73196F04" w:rsidR="00E8161F" w:rsidRPr="00903255" w:rsidRDefault="00E8161F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FE1BEB">
        <w:tc>
          <w:tcPr>
            <w:tcW w:w="4536" w:type="dxa"/>
            <w:shd w:val="clear" w:color="auto" w:fill="auto"/>
          </w:tcPr>
          <w:p w14:paraId="29CED1AD" w14:textId="2EDBFBD1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</w:t>
            </w:r>
            <w:r w:rsidR="00380C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posterioare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=</w:t>
            </w:r>
          </w:p>
        </w:tc>
        <w:tc>
          <w:tcPr>
            <w:tcW w:w="2689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0AE31346" w14:textId="77777777" w:rsidR="00ED7D87" w:rsidRDefault="00ED7D87" w:rsidP="00ED7D87">
            <w:pPr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Retragerile construcţiilor faţă de limitele laterale şi posterioare vor avea în vedere:</w:t>
            </w:r>
          </w:p>
          <w:p w14:paraId="5D06E095" w14:textId="646706F8" w:rsidR="00ED7D87" w:rsidRPr="00ED7D87" w:rsidRDefault="00ED7D87" w:rsidP="00ED7D87">
            <w:pPr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-</w:t>
            </w:r>
            <w:r w:rsidRPr="00ED7D87">
              <w:rPr>
                <w:rFonts w:ascii="Times New Roman" w:eastAsia="Times New Roman" w:hAnsi="Times New Roman"/>
                <w:szCs w:val="20"/>
                <w:lang w:val="it-IT"/>
              </w:rPr>
              <w:t>faţă de limita de proprietate cu parcela cu nr. Cad. 159018: 24 m( zonă de protecţie)</w:t>
            </w:r>
          </w:p>
          <w:p w14:paraId="6BE2AD6F" w14:textId="5F833C75" w:rsidR="00ED7D87" w:rsidRDefault="00ED7D87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-faţă de Str. Păuleşti: 10 m</w:t>
            </w:r>
          </w:p>
          <w:p w14:paraId="72247E72" w14:textId="48B34D4A" w:rsidR="00ED7D87" w:rsidRDefault="00ED7D87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lastRenderedPageBreak/>
              <w:t>-faţă de limita estică a amplasamentului reglementat: h/2 dar minim 5 m.</w:t>
            </w:r>
          </w:p>
          <w:p w14:paraId="7D13D6D1" w14:textId="21A8E23B" w:rsidR="00ED7D87" w:rsidRDefault="00ED7D87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-faţă de limita vestică a amplasamentului: 7,5 m pentru instituţii servicii, 5 m pentru loicuinţe individuale</w:t>
            </w:r>
          </w:p>
          <w:p w14:paraId="7D25166B" w14:textId="0199D53C" w:rsidR="00ED7D87" w:rsidRDefault="00ED7D87" w:rsidP="00ED7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Cs w:val="20"/>
                <w:lang w:val="it-IT"/>
              </w:rPr>
              <w:t>-faţă de alte laturi conform retragerilor marcate pe planşa A02 şi respectarea Codului Civil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FE1BEB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FE1BEB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689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AA1D9A2" w14:textId="662368DD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ED7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Păuleşti</w:t>
            </w:r>
          </w:p>
        </w:tc>
      </w:tr>
      <w:tr w:rsidR="00757AA4" w:rsidRPr="00903255" w14:paraId="6055212A" w14:textId="77777777" w:rsidTr="00FE1BEB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689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9594267" w14:textId="1E5FE741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113FF7BF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D66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19.05.2022, 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2F17FB" w:rsidRDefault="00757AA4" w:rsidP="003B60AD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2797F" w:rsidR="00844472" w:rsidRDefault="009F26A1" w:rsidP="00844472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  <w:t xml:space="preserve">                         </w:t>
      </w:r>
      <w:r w:rsidRPr="009F26A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44A3E4C1" w14:textId="25B0BE32" w:rsidR="009F26A1" w:rsidRPr="009F26A1" w:rsidRDefault="009F26A1" w:rsidP="00844472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  <w:t xml:space="preserve">           Burgye Ştefan</w:t>
      </w: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6DDE7873" w14:textId="47D6CB7B" w:rsidR="00ED4FCB" w:rsidRPr="002F17FB" w:rsidRDefault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762" w14:textId="77777777" w:rsidR="003A18F2" w:rsidRDefault="003A18F2" w:rsidP="00844472">
      <w:pPr>
        <w:spacing w:after="0" w:line="240" w:lineRule="auto"/>
      </w:pPr>
      <w:r>
        <w:separator/>
      </w:r>
    </w:p>
  </w:endnote>
  <w:endnote w:type="continuationSeparator" w:id="0">
    <w:p w14:paraId="03128B07" w14:textId="77777777" w:rsidR="003A18F2" w:rsidRDefault="003A18F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D7BA" w14:textId="77777777" w:rsidR="003A18F2" w:rsidRDefault="003A18F2" w:rsidP="00844472">
      <w:pPr>
        <w:spacing w:after="0" w:line="240" w:lineRule="auto"/>
      </w:pPr>
      <w:r>
        <w:separator/>
      </w:r>
    </w:p>
  </w:footnote>
  <w:footnote w:type="continuationSeparator" w:id="0">
    <w:p w14:paraId="32C4C7AC" w14:textId="77777777" w:rsidR="003A18F2" w:rsidRDefault="003A18F2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2"/>
  </w:num>
  <w:num w:numId="3" w16cid:durableId="440995467">
    <w:abstractNumId w:val="3"/>
  </w:num>
  <w:num w:numId="4" w16cid:durableId="186366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4514"/>
    <w:rsid w:val="00072C79"/>
    <w:rsid w:val="00083982"/>
    <w:rsid w:val="000A5789"/>
    <w:rsid w:val="000B5B56"/>
    <w:rsid w:val="000D4BA8"/>
    <w:rsid w:val="000E146C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0C63"/>
    <w:rsid w:val="003872EC"/>
    <w:rsid w:val="003A18F2"/>
    <w:rsid w:val="003B60AD"/>
    <w:rsid w:val="00426216"/>
    <w:rsid w:val="00432C1D"/>
    <w:rsid w:val="0044213A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A5CE1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D6DBC"/>
    <w:rsid w:val="006F7981"/>
    <w:rsid w:val="00757AA4"/>
    <w:rsid w:val="00777FB2"/>
    <w:rsid w:val="007D66C1"/>
    <w:rsid w:val="008047AE"/>
    <w:rsid w:val="008163B0"/>
    <w:rsid w:val="00831214"/>
    <w:rsid w:val="00831D2D"/>
    <w:rsid w:val="00844472"/>
    <w:rsid w:val="00857931"/>
    <w:rsid w:val="008B7336"/>
    <w:rsid w:val="008E44CC"/>
    <w:rsid w:val="008E5FA5"/>
    <w:rsid w:val="00903255"/>
    <w:rsid w:val="00905655"/>
    <w:rsid w:val="00914C86"/>
    <w:rsid w:val="00994303"/>
    <w:rsid w:val="009B309A"/>
    <w:rsid w:val="009D6C60"/>
    <w:rsid w:val="009F26A1"/>
    <w:rsid w:val="00A04862"/>
    <w:rsid w:val="00A1355F"/>
    <w:rsid w:val="00A52F2D"/>
    <w:rsid w:val="00A611E2"/>
    <w:rsid w:val="00A85ACC"/>
    <w:rsid w:val="00AA2AEC"/>
    <w:rsid w:val="00AC79EA"/>
    <w:rsid w:val="00B527A1"/>
    <w:rsid w:val="00B81B99"/>
    <w:rsid w:val="00BC5E8C"/>
    <w:rsid w:val="00BD221A"/>
    <w:rsid w:val="00C337CF"/>
    <w:rsid w:val="00C57A8D"/>
    <w:rsid w:val="00C85EC2"/>
    <w:rsid w:val="00CB4CD6"/>
    <w:rsid w:val="00CE453F"/>
    <w:rsid w:val="00CE6779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48DE"/>
    <w:rsid w:val="00DC6275"/>
    <w:rsid w:val="00DC79A9"/>
    <w:rsid w:val="00DF1648"/>
    <w:rsid w:val="00E0781C"/>
    <w:rsid w:val="00E34D1D"/>
    <w:rsid w:val="00E40C1C"/>
    <w:rsid w:val="00E45C1F"/>
    <w:rsid w:val="00E72576"/>
    <w:rsid w:val="00E8161F"/>
    <w:rsid w:val="00E86BEC"/>
    <w:rsid w:val="00ED4FCB"/>
    <w:rsid w:val="00ED5507"/>
    <w:rsid w:val="00ED7D87"/>
    <w:rsid w:val="00EE7758"/>
    <w:rsid w:val="00F33F32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2022-04-08T06:23:00Z</cp:lastPrinted>
  <dcterms:created xsi:type="dcterms:W3CDTF">2022-05-17T08:12:00Z</dcterms:created>
  <dcterms:modified xsi:type="dcterms:W3CDTF">2022-05-25T12:00:00Z</dcterms:modified>
</cp:coreProperties>
</file>